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FD0EC" w14:textId="08B498B5" w:rsidR="00F80244" w:rsidRPr="00CA7E97" w:rsidRDefault="00F80244" w:rsidP="00EF14E9">
      <w:pPr>
        <w:jc w:val="center"/>
        <w:rPr>
          <w:b/>
          <w:u w:val="single"/>
        </w:rPr>
      </w:pPr>
      <w:r w:rsidRPr="00CA7E97">
        <w:rPr>
          <w:noProof/>
          <w:lang w:eastAsia="fr-FR"/>
        </w:rPr>
        <w:drawing>
          <wp:anchor distT="0" distB="0" distL="114300" distR="114300" simplePos="0" relativeHeight="251659264" behindDoc="1" locked="0" layoutInCell="0" allowOverlap="1" wp14:anchorId="4F07BD9D" wp14:editId="1353052A">
            <wp:simplePos x="0" y="0"/>
            <wp:positionH relativeFrom="margin">
              <wp:align>center</wp:align>
            </wp:positionH>
            <wp:positionV relativeFrom="paragraph">
              <wp:posOffset>208915</wp:posOffset>
            </wp:positionV>
            <wp:extent cx="2653882" cy="942975"/>
            <wp:effectExtent l="0" t="0" r="0" b="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pic:cNvPicPr>
                      <a:picLocks noChangeAspect="1"/>
                    </pic:cNvPicPr>
                  </pic:nvPicPr>
                  <pic:blipFill>
                    <a:blip r:embed="rId7"/>
                    <a:stretch/>
                  </pic:blipFill>
                  <pic:spPr bwMode="auto">
                    <a:xfrm>
                      <a:off x="0" y="0"/>
                      <a:ext cx="2653882" cy="942975"/>
                    </a:xfrm>
                    <a:prstGeom prst="rect">
                      <a:avLst/>
                    </a:prstGeom>
                  </pic:spPr>
                </pic:pic>
              </a:graphicData>
            </a:graphic>
            <wp14:sizeRelH relativeFrom="margin">
              <wp14:pctWidth>0</wp14:pctWidth>
            </wp14:sizeRelH>
            <wp14:sizeRelV relativeFrom="margin">
              <wp14:pctHeight>0</wp14:pctHeight>
            </wp14:sizeRelV>
          </wp:anchor>
        </w:drawing>
      </w:r>
    </w:p>
    <w:p w14:paraId="72DFAABD" w14:textId="756F06E9" w:rsidR="00F80244" w:rsidRPr="00CA7E97" w:rsidRDefault="00F80244" w:rsidP="00EF14E9">
      <w:pPr>
        <w:jc w:val="center"/>
        <w:rPr>
          <w:b/>
          <w:u w:val="single"/>
        </w:rPr>
      </w:pPr>
    </w:p>
    <w:p w14:paraId="44194CFE" w14:textId="0121CCA5" w:rsidR="00F80244" w:rsidRPr="00CA7E97" w:rsidRDefault="00F80244" w:rsidP="00EF14E9">
      <w:pPr>
        <w:jc w:val="center"/>
        <w:rPr>
          <w:b/>
          <w:u w:val="single"/>
        </w:rPr>
      </w:pPr>
    </w:p>
    <w:p w14:paraId="66D15AD9" w14:textId="77777777" w:rsidR="00F80244" w:rsidRPr="00CA7E97" w:rsidRDefault="00F80244" w:rsidP="00EF14E9">
      <w:pPr>
        <w:jc w:val="center"/>
        <w:rPr>
          <w:b/>
          <w:u w:val="single"/>
        </w:rPr>
      </w:pPr>
    </w:p>
    <w:p w14:paraId="29DFA032" w14:textId="77777777" w:rsidR="00F80244" w:rsidRPr="00CA7E97" w:rsidRDefault="00F80244" w:rsidP="00EF14E9">
      <w:pPr>
        <w:jc w:val="center"/>
        <w:rPr>
          <w:b/>
          <w:u w:val="single"/>
        </w:rPr>
      </w:pPr>
    </w:p>
    <w:p w14:paraId="2F88C763" w14:textId="089727D4" w:rsidR="00EF14E9" w:rsidRPr="00CA7E97" w:rsidRDefault="00EF14E9" w:rsidP="00EF14E9">
      <w:pPr>
        <w:jc w:val="center"/>
        <w:rPr>
          <w:b/>
          <w:u w:val="single"/>
        </w:rPr>
      </w:pPr>
      <w:r w:rsidRPr="00CA7E97">
        <w:rPr>
          <w:b/>
          <w:u w:val="single"/>
        </w:rPr>
        <w:t xml:space="preserve">AVIS D’APPEL A PROJETS MIGRATION ET DEVELOPPEMENT </w:t>
      </w:r>
    </w:p>
    <w:p w14:paraId="5619274B" w14:textId="3F0F2929" w:rsidR="00EF14E9" w:rsidRDefault="00EF14E9" w:rsidP="00B7498A">
      <w:pPr>
        <w:jc w:val="center"/>
        <w:rPr>
          <w:b/>
          <w:u w:val="single"/>
        </w:rPr>
      </w:pPr>
      <w:r w:rsidRPr="00CA7E97">
        <w:rPr>
          <w:b/>
          <w:u w:val="single"/>
        </w:rPr>
        <w:t xml:space="preserve"> POUR LA REGION </w:t>
      </w:r>
      <w:r w:rsidRPr="00710280">
        <w:rPr>
          <w:b/>
          <w:color w:val="FF0000"/>
          <w:u w:val="single"/>
        </w:rPr>
        <w:t>D</w:t>
      </w:r>
      <w:r w:rsidR="00A97426" w:rsidRPr="00710280">
        <w:rPr>
          <w:b/>
          <w:color w:val="FF0000"/>
          <w:u w:val="single"/>
        </w:rPr>
        <w:t>U SOUSS MASSA</w:t>
      </w:r>
    </w:p>
    <w:p w14:paraId="43AAD6B2" w14:textId="72CCC149" w:rsidR="009B7E84" w:rsidRPr="009B7E84" w:rsidRDefault="009B7E84" w:rsidP="00B7498A">
      <w:pPr>
        <w:jc w:val="center"/>
        <w:rPr>
          <w:b/>
          <w:rtl/>
        </w:rPr>
      </w:pPr>
      <w:r w:rsidRPr="009B7E84">
        <w:rPr>
          <w:b/>
        </w:rPr>
        <w:t>Programme Régional des Initiatives de la Migration – Phase2</w:t>
      </w:r>
      <w:r>
        <w:rPr>
          <w:b/>
        </w:rPr>
        <w:t xml:space="preserve"> (PRIM2)</w:t>
      </w:r>
    </w:p>
    <w:p w14:paraId="1E0540AA" w14:textId="23A86444" w:rsidR="00EF14E9" w:rsidRPr="00CA7E97" w:rsidRDefault="006D3041" w:rsidP="00FA339D">
      <w:pPr>
        <w:jc w:val="both"/>
      </w:pPr>
      <w:r>
        <w:t>La deuxième phase du</w:t>
      </w:r>
      <w:r w:rsidR="00EF14E9" w:rsidRPr="00CA7E97">
        <w:t xml:space="preserve"> Programme Régional des Initiatives de la Migration (PRIM</w:t>
      </w:r>
      <w:r>
        <w:t xml:space="preserve">2), mise en œuvre par Expertise France, et </w:t>
      </w:r>
      <w:r w:rsidR="00EF14E9" w:rsidRPr="00CA7E97">
        <w:t>financé</w:t>
      </w:r>
      <w:r w:rsidR="002F4462">
        <w:t>e</w:t>
      </w:r>
      <w:r w:rsidR="00EF14E9" w:rsidRPr="00CA7E97">
        <w:t xml:space="preserve"> par l’Agence </w:t>
      </w:r>
      <w:r w:rsidR="007A0917" w:rsidRPr="00CA7E97">
        <w:t>F</w:t>
      </w:r>
      <w:r w:rsidR="00EF14E9" w:rsidRPr="00CA7E97">
        <w:t>rançaise de développement (AFD)</w:t>
      </w:r>
      <w:r>
        <w:t>, l’Union Européenne et l’</w:t>
      </w:r>
      <w:r w:rsidR="00EF14E9" w:rsidRPr="00CA7E97">
        <w:t>a</w:t>
      </w:r>
      <w:r>
        <w:t>mbassade de France</w:t>
      </w:r>
      <w:r w:rsidR="00BD7A42">
        <w:t>,</w:t>
      </w:r>
      <w:r w:rsidR="00EF14E9" w:rsidRPr="00CA7E97">
        <w:t xml:space="preserve"> </w:t>
      </w:r>
      <w:r>
        <w:t xml:space="preserve">a </w:t>
      </w:r>
      <w:r w:rsidR="00EF14E9" w:rsidRPr="00CA7E97">
        <w:t xml:space="preserve">pour objectif d’accompagner la régionalisation de la politique migratoire au Maroc dans les régions du Souss-Massa et de l’Oriental. Le projet vise à </w:t>
      </w:r>
      <w:r w:rsidR="00BD7A42">
        <w:t>améliorer la prise en compte de la migration et la promotion de l’égalité femmes-hommes à travers le soutien des initiatives régionales de la société civile et des pouvoirs publics. Le projet est réalisé en partenariat avec le Ministère des Affaires Étrangères, de la Coopération Africaine et des Marocains Résidant à l’Étranger, les Conseils Régionaux et les Wilayas des territoires ciblés. C’est dans ce cadre qu’Expertise France lance un appel à projets dans la région du Souss-Massa afin de sélectionner et de financer des actions portées par des organisations de la société civile locales ou de la diaspora, sur la thématique migratoire et intégrant l’approche genre. Le fonds régional a pour objectifs de :</w:t>
      </w:r>
    </w:p>
    <w:p w14:paraId="2C01FB57" w14:textId="68D68C6D" w:rsidR="00173310" w:rsidRDefault="00CE7187" w:rsidP="00FA339D">
      <w:pPr>
        <w:pStyle w:val="Paragraphedeliste"/>
        <w:numPr>
          <w:ilvl w:val="0"/>
          <w:numId w:val="12"/>
        </w:numPr>
        <w:spacing w:after="0"/>
      </w:pPr>
      <w:r w:rsidRPr="00CE7187">
        <w:rPr>
          <w:b/>
          <w:bCs/>
        </w:rPr>
        <w:t>Réduire les vulnérabilités</w:t>
      </w:r>
      <w:r>
        <w:t xml:space="preserve"> des Marocain-e-s Résidant à l’Étranger (MRE), des MRE de retour et des Ressortissant-e-s de Pays Tiers (RPT) ;</w:t>
      </w:r>
    </w:p>
    <w:p w14:paraId="60C6C58A" w14:textId="77A94B08" w:rsidR="00173310" w:rsidRPr="00CA7E97" w:rsidRDefault="00173310" w:rsidP="00FA339D">
      <w:pPr>
        <w:pStyle w:val="Paragraphedeliste"/>
        <w:numPr>
          <w:ilvl w:val="0"/>
          <w:numId w:val="12"/>
        </w:numPr>
        <w:spacing w:after="0"/>
      </w:pPr>
      <w:r w:rsidRPr="00871DA9">
        <w:rPr>
          <w:b/>
        </w:rPr>
        <w:t>Faciliter l’accès des RPT et des MRE aux services de droit commun</w:t>
      </w:r>
      <w:r w:rsidRPr="00CA7E97">
        <w:t xml:space="preserve"> (santé, éducation, emplois, loisirs, etc.)  à travers des actions et des projets dans ce sens ;</w:t>
      </w:r>
    </w:p>
    <w:p w14:paraId="41AEDBE9" w14:textId="03D1BE76" w:rsidR="00CE7187" w:rsidRDefault="00173310" w:rsidP="00FA339D">
      <w:pPr>
        <w:pStyle w:val="Paragraphedeliste"/>
        <w:numPr>
          <w:ilvl w:val="0"/>
          <w:numId w:val="12"/>
        </w:numPr>
        <w:spacing w:after="0"/>
      </w:pPr>
      <w:r w:rsidRPr="00173310">
        <w:rPr>
          <w:b/>
          <w:bCs/>
        </w:rPr>
        <w:t>Valoriser les apports des migrant-e-s</w:t>
      </w:r>
      <w:r>
        <w:t xml:space="preserve"> au développement local ;</w:t>
      </w:r>
    </w:p>
    <w:p w14:paraId="13446BB0" w14:textId="74FF809C" w:rsidR="00CE7187" w:rsidRDefault="00EF14E9" w:rsidP="00FA339D">
      <w:pPr>
        <w:pStyle w:val="Paragraphedeliste"/>
        <w:numPr>
          <w:ilvl w:val="0"/>
          <w:numId w:val="12"/>
        </w:numPr>
        <w:spacing w:after="0"/>
      </w:pPr>
      <w:r w:rsidRPr="00173310">
        <w:rPr>
          <w:b/>
        </w:rPr>
        <w:t>Appuyer et encourager la participation et l’implication des</w:t>
      </w:r>
      <w:r w:rsidRPr="00CE7187">
        <w:t xml:space="preserve"> </w:t>
      </w:r>
      <w:r w:rsidRPr="00173310">
        <w:rPr>
          <w:b/>
        </w:rPr>
        <w:t>MRE</w:t>
      </w:r>
      <w:r w:rsidRPr="00CE7187">
        <w:t xml:space="preserve"> dans le processus de développement de leurs territoires d’origine</w:t>
      </w:r>
      <w:r w:rsidRPr="00CA7E97">
        <w:t xml:space="preserve"> et renforcer le lien entre les MRE et leur territoire d’origine ; </w:t>
      </w:r>
    </w:p>
    <w:p w14:paraId="1C00A39F" w14:textId="21232BAB" w:rsidR="00173310" w:rsidRDefault="00173310" w:rsidP="00FA339D">
      <w:pPr>
        <w:pStyle w:val="Paragraphedeliste"/>
        <w:numPr>
          <w:ilvl w:val="0"/>
          <w:numId w:val="12"/>
        </w:numPr>
        <w:spacing w:after="0"/>
        <w:jc w:val="both"/>
      </w:pPr>
      <w:r w:rsidRPr="00871DA9">
        <w:rPr>
          <w:b/>
        </w:rPr>
        <w:t>Renforcer les capacités des acteurs de la société civile et des collectivités</w:t>
      </w:r>
      <w:r>
        <w:t xml:space="preserve"> territoriales dans la mise en œuvre et le suivi des projets « </w:t>
      </w:r>
      <w:r w:rsidR="002F4462">
        <w:t>m</w:t>
      </w:r>
      <w:r>
        <w:t>igrations et développement » ;</w:t>
      </w:r>
    </w:p>
    <w:p w14:paraId="0E1D7AE7" w14:textId="3F0ABD36" w:rsidR="00173310" w:rsidRDefault="00173310" w:rsidP="00FA339D">
      <w:pPr>
        <w:pStyle w:val="Paragraphedeliste"/>
        <w:numPr>
          <w:ilvl w:val="0"/>
          <w:numId w:val="12"/>
        </w:numPr>
        <w:spacing w:after="0"/>
        <w:jc w:val="both"/>
      </w:pPr>
      <w:r w:rsidRPr="00173310">
        <w:rPr>
          <w:b/>
        </w:rPr>
        <w:t>Assurer la prise en compte des besoins différenciés</w:t>
      </w:r>
      <w:r>
        <w:t xml:space="preserve"> des femmes et des hommes migrant-e-s ; </w:t>
      </w:r>
    </w:p>
    <w:p w14:paraId="7E15650F" w14:textId="77777777" w:rsidR="00173310" w:rsidRDefault="00173310" w:rsidP="00EF14E9">
      <w:pPr>
        <w:jc w:val="both"/>
      </w:pPr>
    </w:p>
    <w:p w14:paraId="200620A6" w14:textId="5D4F0EB2" w:rsidR="00EF14E9" w:rsidRPr="00CA7E97" w:rsidRDefault="00EF14E9" w:rsidP="00EF14E9">
      <w:pPr>
        <w:jc w:val="both"/>
      </w:pPr>
      <w:r w:rsidRPr="00CA7E97">
        <w:t xml:space="preserve">Le fonds ciblera principalement des projets </w:t>
      </w:r>
      <w:r w:rsidRPr="00CA7E97">
        <w:rPr>
          <w:b/>
          <w:bCs/>
        </w:rPr>
        <w:t>« </w:t>
      </w:r>
      <w:r w:rsidR="002F4462">
        <w:rPr>
          <w:b/>
          <w:bCs/>
        </w:rPr>
        <w:t>m</w:t>
      </w:r>
      <w:r w:rsidRPr="00CA7E97">
        <w:rPr>
          <w:b/>
          <w:bCs/>
        </w:rPr>
        <w:t>igration et développement »</w:t>
      </w:r>
      <w:r w:rsidR="00CE7187">
        <w:rPr>
          <w:b/>
          <w:bCs/>
        </w:rPr>
        <w:t xml:space="preserve"> sensibles au genre</w:t>
      </w:r>
      <w:r w:rsidRPr="00CA7E97">
        <w:rPr>
          <w:b/>
          <w:bCs/>
        </w:rPr>
        <w:t>.</w:t>
      </w:r>
      <w:r w:rsidRPr="00CA7E97">
        <w:t xml:space="preserve"> Pour être considéré comme tel, l’action ou le projet proposé doit :</w:t>
      </w:r>
    </w:p>
    <w:p w14:paraId="261F5427" w14:textId="0F6A7DB8" w:rsidR="00EF14E9" w:rsidRPr="00CA7E97" w:rsidRDefault="00CE7187" w:rsidP="00CE7187">
      <w:pPr>
        <w:pStyle w:val="Paragraphedeliste"/>
        <w:numPr>
          <w:ilvl w:val="0"/>
          <w:numId w:val="13"/>
        </w:numPr>
        <w:jc w:val="both"/>
      </w:pPr>
      <w:r>
        <w:rPr>
          <w:b/>
          <w:bCs/>
        </w:rPr>
        <w:t>Ê</w:t>
      </w:r>
      <w:r w:rsidR="00EF14E9" w:rsidRPr="00CE7187">
        <w:rPr>
          <w:b/>
          <w:bCs/>
        </w:rPr>
        <w:t>tre porté par un acteur de la migration</w:t>
      </w:r>
      <w:r w:rsidR="00EF14E9" w:rsidRPr="00CA7E97">
        <w:t xml:space="preserve"> (</w:t>
      </w:r>
      <w:r>
        <w:t>association ou coopérative de la diaspora installée dans un pays tiers, association ou coopérative de RPT ou de MRE de retour installée dans la région du Souss-Massa</w:t>
      </w:r>
      <w:r w:rsidR="00EF14E9" w:rsidRPr="00CA7E97">
        <w:t xml:space="preserve">) </w:t>
      </w:r>
    </w:p>
    <w:p w14:paraId="1AEC1976" w14:textId="7080762A" w:rsidR="00EF14E9" w:rsidRPr="00CA7E97" w:rsidRDefault="00EF14E9" w:rsidP="00EF14E9">
      <w:pPr>
        <w:jc w:val="both"/>
        <w:rPr>
          <w:b/>
        </w:rPr>
      </w:pPr>
      <w:r w:rsidRPr="00CA7E97">
        <w:rPr>
          <w:b/>
        </w:rPr>
        <w:t>Ou</w:t>
      </w:r>
    </w:p>
    <w:p w14:paraId="29E3F205" w14:textId="7DEF7B4F" w:rsidR="00CE7187" w:rsidRDefault="00EF14E9" w:rsidP="00710280">
      <w:pPr>
        <w:ind w:left="567"/>
        <w:jc w:val="both"/>
        <w:rPr>
          <w:bCs/>
        </w:rPr>
      </w:pPr>
      <w:r w:rsidRPr="00CA7E97">
        <w:t xml:space="preserve">- </w:t>
      </w:r>
      <w:r w:rsidRPr="00CA7E97">
        <w:rPr>
          <w:b/>
          <w:bCs/>
        </w:rPr>
        <w:t>Mener des actions à destination des MRE</w:t>
      </w:r>
      <w:r w:rsidR="00CE7187">
        <w:rPr>
          <w:b/>
          <w:bCs/>
        </w:rPr>
        <w:t xml:space="preserve"> femmes et hommes (</w:t>
      </w:r>
      <w:r w:rsidR="00CE7187" w:rsidRPr="00CE7187">
        <w:rPr>
          <w:bCs/>
        </w:rPr>
        <w:t>et éventuellement leurs familles</w:t>
      </w:r>
      <w:r w:rsidR="00CE7187">
        <w:rPr>
          <w:b/>
          <w:bCs/>
        </w:rPr>
        <w:t xml:space="preserve">), des MRE et/ou des RPT </w:t>
      </w:r>
      <w:r w:rsidR="00CE7187" w:rsidRPr="00CE7187">
        <w:rPr>
          <w:bCs/>
        </w:rPr>
        <w:t>femmes et hommes dans la région du Souss-Massa.</w:t>
      </w:r>
    </w:p>
    <w:p w14:paraId="675A7F75" w14:textId="77777777" w:rsidR="00173310" w:rsidRDefault="00173310" w:rsidP="00EF14E9">
      <w:pPr>
        <w:jc w:val="both"/>
        <w:rPr>
          <w:b/>
          <w:bCs/>
        </w:rPr>
      </w:pPr>
    </w:p>
    <w:p w14:paraId="1F8D347E" w14:textId="22719ACE" w:rsidR="00FA339D" w:rsidRPr="0078573E" w:rsidRDefault="00EF14E9" w:rsidP="00FA339D">
      <w:pPr>
        <w:spacing w:after="120" w:line="240" w:lineRule="auto"/>
        <w:jc w:val="both"/>
        <w:rPr>
          <w:rFonts w:ascii="Lato" w:hAnsi="Lato" w:cs="Calibri"/>
        </w:rPr>
      </w:pPr>
      <w:r w:rsidRPr="00CA7E97">
        <w:rPr>
          <w:b/>
          <w:bCs/>
          <w:u w:val="single"/>
        </w:rPr>
        <w:t>Porteurs de projet (demandeurs)</w:t>
      </w:r>
      <w:r w:rsidRPr="00CA7E97">
        <w:rPr>
          <w:u w:val="single"/>
        </w:rPr>
        <w:t> :</w:t>
      </w:r>
      <w:r w:rsidRPr="00CA7E97">
        <w:t xml:space="preserve"> Organisation de la société civile locale </w:t>
      </w:r>
      <w:r w:rsidR="00FA339D">
        <w:t>(</w:t>
      </w:r>
      <w:r w:rsidRPr="00CA7E97">
        <w:t xml:space="preserve">associations </w:t>
      </w:r>
      <w:r w:rsidR="00FA339D">
        <w:t xml:space="preserve">ou coopératives) </w:t>
      </w:r>
      <w:r w:rsidR="002649B2">
        <w:t xml:space="preserve">et </w:t>
      </w:r>
      <w:bookmarkStart w:id="0" w:name="_GoBack"/>
      <w:bookmarkEnd w:id="0"/>
      <w:r w:rsidRPr="00CA7E97">
        <w:t>de la diaspora marocaine mettant en œuvre des actions dans la région</w:t>
      </w:r>
      <w:r w:rsidR="00F42C2B">
        <w:t xml:space="preserve"> du Souss Massa</w:t>
      </w:r>
      <w:r w:rsidR="00800F0A">
        <w:t>.</w:t>
      </w:r>
      <w:r w:rsidR="00FA339D">
        <w:t xml:space="preserve"> </w:t>
      </w:r>
    </w:p>
    <w:p w14:paraId="1A0E7C63" w14:textId="07238D09" w:rsidR="00EF14E9" w:rsidRDefault="00EF14E9" w:rsidP="00EF14E9">
      <w:pPr>
        <w:jc w:val="both"/>
      </w:pPr>
    </w:p>
    <w:p w14:paraId="2F778785" w14:textId="77777777" w:rsidR="00173310" w:rsidRPr="00CA7E97" w:rsidRDefault="00173310" w:rsidP="00EF14E9">
      <w:pPr>
        <w:jc w:val="both"/>
      </w:pPr>
    </w:p>
    <w:p w14:paraId="38C6ACBE" w14:textId="0D88FFC8" w:rsidR="00EF14E9" w:rsidRPr="00CA7E97" w:rsidRDefault="00EF14E9" w:rsidP="00EF14E9">
      <w:pPr>
        <w:jc w:val="both"/>
      </w:pPr>
      <w:r w:rsidRPr="00CA7E97">
        <w:rPr>
          <w:b/>
          <w:bCs/>
          <w:u w:val="single"/>
        </w:rPr>
        <w:t>Durée de l’action</w:t>
      </w:r>
      <w:r w:rsidR="00800F0A">
        <w:t> : 3 à 16</w:t>
      </w:r>
      <w:r w:rsidRPr="00CA7E97">
        <w:t xml:space="preserve"> mois</w:t>
      </w:r>
    </w:p>
    <w:p w14:paraId="496FD928" w14:textId="7C5332A9" w:rsidR="00B70D64" w:rsidRDefault="00EF14E9" w:rsidP="00B70D64">
      <w:pPr>
        <w:jc w:val="both"/>
      </w:pPr>
      <w:r w:rsidRPr="00CA7E97">
        <w:rPr>
          <w:b/>
          <w:bCs/>
          <w:u w:val="single"/>
        </w:rPr>
        <w:t>Montant des enveloppes financières</w:t>
      </w:r>
      <w:r w:rsidRPr="00CA7E97">
        <w:rPr>
          <w:u w:val="single"/>
        </w:rPr>
        <w:t> :</w:t>
      </w:r>
      <w:r w:rsidRPr="00CA7E97">
        <w:t xml:space="preserve"> </w:t>
      </w:r>
    </w:p>
    <w:p w14:paraId="62EAC040" w14:textId="76CF5C33" w:rsidR="00B70D64" w:rsidRDefault="00B70D64" w:rsidP="00B70D64">
      <w:pPr>
        <w:ind w:left="708"/>
        <w:jc w:val="both"/>
      </w:pPr>
      <w:r>
        <w:t xml:space="preserve">- </w:t>
      </w:r>
      <w:r>
        <w:rPr>
          <w:b/>
          <w:bCs/>
        </w:rPr>
        <w:t>Catégorie 1.A</w:t>
      </w:r>
      <w:r>
        <w:t xml:space="preserve"> : 5 000 € – 14 999 € (pas de critère d’ancienneté</w:t>
      </w:r>
      <w:r w:rsidR="00D71F16">
        <w:t xml:space="preserve"> pour le demandeur</w:t>
      </w:r>
      <w:r>
        <w:t>) ;</w:t>
      </w:r>
    </w:p>
    <w:p w14:paraId="62DE4697" w14:textId="4C7047CB" w:rsidR="00B70D64" w:rsidRDefault="00B70D64" w:rsidP="00B70D64">
      <w:pPr>
        <w:ind w:left="708"/>
        <w:jc w:val="both"/>
      </w:pPr>
      <w:r>
        <w:t xml:space="preserve">- </w:t>
      </w:r>
      <w:r>
        <w:rPr>
          <w:b/>
          <w:bCs/>
        </w:rPr>
        <w:t>Catégorie 1.B</w:t>
      </w:r>
      <w:r>
        <w:t xml:space="preserve"> : 15 000 € – 29 999 € (au moins 1 an d’existence</w:t>
      </w:r>
      <w:r w:rsidR="00D71F16">
        <w:t xml:space="preserve"> pour le demandeur</w:t>
      </w:r>
      <w:r>
        <w:t>) ;</w:t>
      </w:r>
    </w:p>
    <w:p w14:paraId="04470BEA" w14:textId="4641EC76" w:rsidR="00B70D64" w:rsidRDefault="00B70D64" w:rsidP="00B70D64">
      <w:pPr>
        <w:ind w:left="708"/>
        <w:jc w:val="both"/>
      </w:pPr>
      <w:r>
        <w:t xml:space="preserve">- </w:t>
      </w:r>
      <w:r>
        <w:rPr>
          <w:b/>
          <w:bCs/>
        </w:rPr>
        <w:t>Catégorie 2</w:t>
      </w:r>
      <w:r>
        <w:t xml:space="preserve"> : 30 000 € – 59 999 € (au moins 3 ans d’existence</w:t>
      </w:r>
      <w:r w:rsidR="00D71F16" w:rsidRPr="00D71F16">
        <w:t xml:space="preserve"> </w:t>
      </w:r>
      <w:r w:rsidR="00D71F16">
        <w:t>pour le demandeur</w:t>
      </w:r>
      <w:r>
        <w:t>) ;</w:t>
      </w:r>
    </w:p>
    <w:p w14:paraId="34A0C98E" w14:textId="63B044FB" w:rsidR="00B70D64" w:rsidRDefault="00B70D64" w:rsidP="00B70D64">
      <w:pPr>
        <w:ind w:left="708"/>
        <w:jc w:val="both"/>
      </w:pPr>
      <w:r>
        <w:t xml:space="preserve">- </w:t>
      </w:r>
      <w:r>
        <w:rPr>
          <w:b/>
          <w:bCs/>
        </w:rPr>
        <w:t>Catégorie 3</w:t>
      </w:r>
      <w:r>
        <w:t xml:space="preserve"> : 60 000 € – 90 000 € (au moins 5 ans d’existence</w:t>
      </w:r>
      <w:r w:rsidR="00D71F16" w:rsidRPr="00D71F16">
        <w:t xml:space="preserve"> </w:t>
      </w:r>
      <w:r w:rsidR="00D71F16">
        <w:t>pour le demandeur</w:t>
      </w:r>
      <w:r>
        <w:t>).</w:t>
      </w:r>
    </w:p>
    <w:p w14:paraId="2FDBAF46" w14:textId="718334BF" w:rsidR="00D231F6" w:rsidRPr="00CA7E97" w:rsidRDefault="00D231F6" w:rsidP="00D231F6">
      <w:pPr>
        <w:jc w:val="both"/>
        <w:rPr>
          <w:rtl/>
        </w:rPr>
      </w:pPr>
    </w:p>
    <w:p w14:paraId="10A6DDDF" w14:textId="32D31030" w:rsidR="00EF14E9" w:rsidRPr="00CA7E97" w:rsidRDefault="00800F0A" w:rsidP="00EF14E9">
      <w:pPr>
        <w:jc w:val="center"/>
        <w:rPr>
          <w:b/>
          <w:sz w:val="24"/>
          <w:szCs w:val="24"/>
          <w:u w:val="single"/>
          <w:rtl/>
        </w:rPr>
      </w:pPr>
      <w:r>
        <w:rPr>
          <w:b/>
          <w:sz w:val="24"/>
          <w:szCs w:val="24"/>
          <w:u w:val="single"/>
        </w:rPr>
        <w:t>Date limite de soumission des notes succinctes de présentation</w:t>
      </w:r>
      <w:r w:rsidR="00EF14E9" w:rsidRPr="00CA7E97">
        <w:rPr>
          <w:b/>
          <w:sz w:val="24"/>
          <w:szCs w:val="24"/>
          <w:u w:val="single"/>
        </w:rPr>
        <w:t xml:space="preserve"> : </w:t>
      </w:r>
      <w:r w:rsidR="009B7E84">
        <w:rPr>
          <w:b/>
          <w:bCs/>
          <w:sz w:val="24"/>
          <w:szCs w:val="24"/>
          <w:u w:val="single"/>
        </w:rPr>
        <w:t>1</w:t>
      </w:r>
      <w:r w:rsidR="002F4462">
        <w:rPr>
          <w:b/>
          <w:bCs/>
          <w:sz w:val="24"/>
          <w:szCs w:val="24"/>
          <w:u w:val="single"/>
        </w:rPr>
        <w:t>6</w:t>
      </w:r>
      <w:r w:rsidR="009B7E84">
        <w:rPr>
          <w:b/>
          <w:bCs/>
          <w:sz w:val="24"/>
          <w:szCs w:val="24"/>
          <w:u w:val="single"/>
        </w:rPr>
        <w:t xml:space="preserve"> novembre 2026 à </w:t>
      </w:r>
      <w:r w:rsidR="002F4462">
        <w:rPr>
          <w:b/>
          <w:bCs/>
          <w:sz w:val="24"/>
          <w:szCs w:val="24"/>
          <w:u w:val="single"/>
        </w:rPr>
        <w:t>1</w:t>
      </w:r>
      <w:r w:rsidR="00B22FCD">
        <w:rPr>
          <w:b/>
          <w:bCs/>
          <w:sz w:val="24"/>
          <w:szCs w:val="24"/>
          <w:u w:val="single"/>
        </w:rPr>
        <w:t>1</w:t>
      </w:r>
      <w:r w:rsidR="002F4462">
        <w:rPr>
          <w:b/>
          <w:bCs/>
          <w:sz w:val="24"/>
          <w:szCs w:val="24"/>
          <w:u w:val="single"/>
        </w:rPr>
        <w:t xml:space="preserve">h00 </w:t>
      </w:r>
      <w:r w:rsidR="009B7E84">
        <w:rPr>
          <w:b/>
          <w:bCs/>
          <w:sz w:val="24"/>
          <w:szCs w:val="24"/>
          <w:u w:val="single"/>
        </w:rPr>
        <w:t xml:space="preserve">(heure </w:t>
      </w:r>
      <w:r w:rsidR="002F4462">
        <w:rPr>
          <w:b/>
          <w:bCs/>
          <w:sz w:val="24"/>
          <w:szCs w:val="24"/>
          <w:u w:val="single"/>
        </w:rPr>
        <w:t xml:space="preserve">de </w:t>
      </w:r>
      <w:r w:rsidR="00B22FCD">
        <w:rPr>
          <w:b/>
          <w:bCs/>
          <w:sz w:val="24"/>
          <w:szCs w:val="24"/>
          <w:u w:val="single"/>
        </w:rPr>
        <w:t>Maroc)</w:t>
      </w:r>
    </w:p>
    <w:p w14:paraId="772B6999" w14:textId="77777777" w:rsidR="00871DA9" w:rsidRDefault="00871DA9" w:rsidP="00D231F6">
      <w:pPr>
        <w:jc w:val="both"/>
      </w:pPr>
    </w:p>
    <w:p w14:paraId="515721AA" w14:textId="4BC24705" w:rsidR="00EF14E9" w:rsidRPr="00CA7E97" w:rsidRDefault="00EF14E9" w:rsidP="00D231F6">
      <w:pPr>
        <w:jc w:val="both"/>
      </w:pPr>
      <w:r w:rsidRPr="00CA7E97">
        <w:t xml:space="preserve">Il s'agit d'un </w:t>
      </w:r>
      <w:r w:rsidRPr="00CA7E97">
        <w:rPr>
          <w:b/>
        </w:rPr>
        <w:t xml:space="preserve">appel à projets </w:t>
      </w:r>
      <w:r w:rsidR="00800F0A">
        <w:rPr>
          <w:b/>
        </w:rPr>
        <w:t>restreint</w:t>
      </w:r>
      <w:r w:rsidR="00800F0A">
        <w:t xml:space="preserve"> qui se déroule en deux phases :</w:t>
      </w:r>
    </w:p>
    <w:p w14:paraId="7C9F3EBA" w14:textId="77777777" w:rsidR="00800F0A" w:rsidRPr="009B7E84" w:rsidRDefault="00800F0A" w:rsidP="00800F0A">
      <w:pPr>
        <w:spacing w:after="0" w:line="240" w:lineRule="auto"/>
        <w:rPr>
          <w:b/>
        </w:rPr>
      </w:pPr>
    </w:p>
    <w:p w14:paraId="2FF5515F" w14:textId="308B6024" w:rsidR="00800F0A" w:rsidRDefault="00800F0A" w:rsidP="00800F0A">
      <w:pPr>
        <w:pStyle w:val="Paragraphedeliste"/>
        <w:numPr>
          <w:ilvl w:val="0"/>
          <w:numId w:val="13"/>
        </w:numPr>
        <w:jc w:val="both"/>
      </w:pPr>
      <w:r w:rsidRPr="009B7E84">
        <w:rPr>
          <w:b/>
        </w:rPr>
        <w:t>Phase 1 </w:t>
      </w:r>
      <w:r w:rsidR="00F071D6" w:rsidRPr="009B7E84">
        <w:rPr>
          <w:b/>
          <w:bCs/>
        </w:rPr>
        <w:t>–</w:t>
      </w:r>
      <w:r w:rsidRPr="009B7E84">
        <w:rPr>
          <w:b/>
        </w:rPr>
        <w:t xml:space="preserve"> </w:t>
      </w:r>
      <w:r w:rsidR="00B22FCD">
        <w:rPr>
          <w:b/>
        </w:rPr>
        <w:t>N</w:t>
      </w:r>
      <w:r w:rsidRPr="009B7E84">
        <w:rPr>
          <w:b/>
        </w:rPr>
        <w:t>ote succincte</w:t>
      </w:r>
      <w:r>
        <w:t> : seules la note succincte de présentation (Annexe) et les pièces justificatives permettant de vérifier l’éligibilité du demandeur doivent être soumises à ce stade.</w:t>
      </w:r>
    </w:p>
    <w:p w14:paraId="0874ABC5" w14:textId="6931A0DE" w:rsidR="00800F0A" w:rsidRDefault="00800F0A" w:rsidP="00800F0A">
      <w:pPr>
        <w:pStyle w:val="Paragraphedeliste"/>
        <w:numPr>
          <w:ilvl w:val="0"/>
          <w:numId w:val="13"/>
        </w:numPr>
        <w:jc w:val="both"/>
      </w:pPr>
      <w:r w:rsidRPr="009B7E84">
        <w:rPr>
          <w:b/>
          <w:bCs/>
        </w:rPr>
        <w:t>Phase 2 – Demande complète</w:t>
      </w:r>
      <w:r w:rsidRPr="00800F0A">
        <w:t xml:space="preserve"> :</w:t>
      </w:r>
      <w:r>
        <w:t xml:space="preserve"> les organisations dont la note succincte aura été présélectionnée bénéficieront d’un parcours de renforcement des capacités et d’accompagnement au montage de projets (en distanciel pour les organisations de la diaspora basées hors du Maroc). Seules celles ayant participé à au moins 80 % de ce parcours seront invitées à soumettre une demande complète.</w:t>
      </w:r>
    </w:p>
    <w:p w14:paraId="016CF370" w14:textId="77777777" w:rsidR="00D71F16" w:rsidRDefault="00D71F16" w:rsidP="009B7E84">
      <w:pPr>
        <w:jc w:val="both"/>
      </w:pPr>
    </w:p>
    <w:p w14:paraId="437C57E4" w14:textId="1ECB89AA" w:rsidR="009B7E84" w:rsidRDefault="009B7E84" w:rsidP="009B7E84">
      <w:pPr>
        <w:jc w:val="both"/>
      </w:pPr>
      <w:r>
        <w:t>Le règlement complet de l’appel à projets, le formulaire de demande de subvention et les annexes sont disponibles sur la plateforme POPS d’Expertise France, accessible via le lien suivant :</w:t>
      </w:r>
    </w:p>
    <w:p w14:paraId="1B9E10E4" w14:textId="1B674914" w:rsidR="00871DA9" w:rsidRDefault="00806671" w:rsidP="009B7E84">
      <w:pPr>
        <w:jc w:val="center"/>
      </w:pPr>
      <w:hyperlink r:id="rId8" w:tgtFrame="_blank" w:history="1">
        <w:r w:rsidR="00F42C2B">
          <w:rPr>
            <w:rStyle w:val="Lienhypertexte"/>
            <w:rFonts w:ascii="Calibri" w:hAnsi="Calibri" w:cs="Calibri"/>
            <w:shd w:val="clear" w:color="auto" w:fill="FFFFFF"/>
          </w:rPr>
          <w:t>https://pops.expertisefrance.fr/sdm/ent/gen/ent_detail.do?PCSLID=CSL_2026_LyU3WKeppU&amp;v=1&amp;selected=0</w:t>
        </w:r>
      </w:hyperlink>
    </w:p>
    <w:p w14:paraId="2757F8AD" w14:textId="0464EA92" w:rsidR="009B7E84" w:rsidRDefault="009B7E84" w:rsidP="009B7E84">
      <w:pPr>
        <w:jc w:val="both"/>
      </w:pPr>
      <w:r>
        <w:t xml:space="preserve">Les notes succinctes doivent être déposées </w:t>
      </w:r>
      <w:r>
        <w:rPr>
          <w:b/>
          <w:bCs/>
        </w:rPr>
        <w:t>exclusivement par voie dématérialisée sur la plateforme POPS</w:t>
      </w:r>
      <w:r>
        <w:t xml:space="preserve">. Toutes les questions concernant l’appel à projets devront être posées via la plateforme POPS, en indiquant clairement la référence de l’appel, au plus tard le </w:t>
      </w:r>
      <w:r>
        <w:rPr>
          <w:b/>
          <w:bCs/>
        </w:rPr>
        <w:t xml:space="preserve">5 novembre 2026 à </w:t>
      </w:r>
      <w:r w:rsidR="002F4462">
        <w:rPr>
          <w:b/>
          <w:bCs/>
        </w:rPr>
        <w:t xml:space="preserve">12h00 </w:t>
      </w:r>
      <w:r>
        <w:rPr>
          <w:b/>
          <w:bCs/>
        </w:rPr>
        <w:t xml:space="preserve">(heure </w:t>
      </w:r>
      <w:r w:rsidR="002F4462">
        <w:rPr>
          <w:b/>
          <w:bCs/>
        </w:rPr>
        <w:t>de France</w:t>
      </w:r>
      <w:r>
        <w:rPr>
          <w:b/>
          <w:bCs/>
        </w:rPr>
        <w:t>)</w:t>
      </w:r>
      <w:r>
        <w:t>. Les réponses seront publiées au plus tard le 10 novembre 2026 et partagées avec l’ensemble des candidats. Aucune réponse individuelle ne sera donnée.</w:t>
      </w:r>
    </w:p>
    <w:p w14:paraId="74EBC06A" w14:textId="77777777" w:rsidR="009B7E84" w:rsidRDefault="009B7E84" w:rsidP="009B7E84">
      <w:pPr>
        <w:jc w:val="both"/>
      </w:pPr>
      <w:r>
        <w:rPr>
          <w:b/>
          <w:bCs/>
        </w:rPr>
        <w:t>Une session d’information sur cet appel à projets sera organisée le 16 octobre 2026 à 15h30 (heure du Maroc), en distanciel, via le lien Zoom suivant :</w:t>
      </w:r>
    </w:p>
    <w:p w14:paraId="13418BDC" w14:textId="77777777" w:rsidR="009B7E84" w:rsidRDefault="00806671" w:rsidP="009B7E84">
      <w:pPr>
        <w:jc w:val="center"/>
      </w:pPr>
      <w:hyperlink r:id="rId9" w:history="1">
        <w:r w:rsidR="009B7E84">
          <w:rPr>
            <w:rStyle w:val="Lienhypertexte"/>
          </w:rPr>
          <w:t>https://us06web.zoom.us/j/87051081539</w:t>
        </w:r>
      </w:hyperlink>
    </w:p>
    <w:p w14:paraId="16B363C8" w14:textId="6620CFA9" w:rsidR="00EF14E9" w:rsidRDefault="009B7E84" w:rsidP="009B7E84">
      <w:pPr>
        <w:jc w:val="center"/>
      </w:pPr>
      <w:r>
        <w:t>ID de réunion : 870 5108 1539</w:t>
      </w:r>
    </w:p>
    <w:p w14:paraId="13CB7883" w14:textId="77777777" w:rsidR="00B22FCD" w:rsidRPr="00800F0A" w:rsidRDefault="00B22FCD" w:rsidP="009B7E84">
      <w:pPr>
        <w:jc w:val="center"/>
      </w:pPr>
    </w:p>
    <w:p w14:paraId="73D1EEBB" w14:textId="1CBB58E8" w:rsidR="00866CC4" w:rsidRDefault="00866CC4" w:rsidP="004B574C">
      <w:r w:rsidRPr="00CA7E97">
        <w:rPr>
          <w:noProof/>
          <w:lang w:eastAsia="fr-FR"/>
        </w:rPr>
        <w:drawing>
          <wp:anchor distT="0" distB="0" distL="114300" distR="114300" simplePos="0" relativeHeight="251661312" behindDoc="1" locked="0" layoutInCell="0" allowOverlap="1" wp14:anchorId="5A8E973C" wp14:editId="7C890ACB">
            <wp:simplePos x="0" y="0"/>
            <wp:positionH relativeFrom="margin">
              <wp:posOffset>1428750</wp:posOffset>
            </wp:positionH>
            <wp:positionV relativeFrom="paragraph">
              <wp:posOffset>10160</wp:posOffset>
            </wp:positionV>
            <wp:extent cx="2653882" cy="942975"/>
            <wp:effectExtent l="0" t="0" r="0" b="0"/>
            <wp:wrapNone/>
            <wp:docPr id="1" name="Image 2" descr="Une image contenant texte, signe, s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Une image contenant texte, signe, sombre&#10;&#10;Description générée automatiquement"/>
                    <pic:cNvPicPr>
                      <a:picLocks noChangeAspect="1"/>
                    </pic:cNvPicPr>
                  </pic:nvPicPr>
                  <pic:blipFill>
                    <a:blip r:embed="rId7"/>
                    <a:stretch/>
                  </pic:blipFill>
                  <pic:spPr bwMode="auto">
                    <a:xfrm>
                      <a:off x="0" y="0"/>
                      <a:ext cx="2653882" cy="942975"/>
                    </a:xfrm>
                    <a:prstGeom prst="rect">
                      <a:avLst/>
                    </a:prstGeom>
                  </pic:spPr>
                </pic:pic>
              </a:graphicData>
            </a:graphic>
            <wp14:sizeRelH relativeFrom="margin">
              <wp14:pctWidth>0</wp14:pctWidth>
            </wp14:sizeRelH>
            <wp14:sizeRelV relativeFrom="margin">
              <wp14:pctHeight>0</wp14:pctHeight>
            </wp14:sizeRelV>
          </wp:anchor>
        </w:drawing>
      </w:r>
    </w:p>
    <w:p w14:paraId="0C0897AE" w14:textId="77777777" w:rsidR="00866CC4" w:rsidRDefault="00866CC4" w:rsidP="004B574C"/>
    <w:sectPr w:rsidR="00866CC4" w:rsidSect="00F80244">
      <w:headerReference w:type="default" r:id="rId10"/>
      <w:footerReference w:type="default" r:id="rId11"/>
      <w:pgSz w:w="11906" w:h="16838"/>
      <w:pgMar w:top="-3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A49E4" w14:textId="77777777" w:rsidR="00806671" w:rsidRDefault="00806671" w:rsidP="0016336F">
      <w:pPr>
        <w:spacing w:after="0" w:line="240" w:lineRule="auto"/>
      </w:pPr>
      <w:r>
        <w:separator/>
      </w:r>
    </w:p>
  </w:endnote>
  <w:endnote w:type="continuationSeparator" w:id="0">
    <w:p w14:paraId="38D6E7F0" w14:textId="77777777" w:rsidR="00806671" w:rsidRDefault="00806671" w:rsidP="00163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DAB75" w14:textId="1AF367CD" w:rsidR="0016336F" w:rsidRDefault="0016336F">
    <w:pPr>
      <w:pStyle w:val="Pieddepage"/>
    </w:pPr>
    <w:r>
      <w:rPr>
        <w:noProof/>
        <w:lang w:eastAsia="fr-FR"/>
      </w:rPr>
      <w:drawing>
        <wp:anchor distT="0" distB="0" distL="114300" distR="114300" simplePos="0" relativeHeight="251660288" behindDoc="1" locked="0" layoutInCell="0" allowOverlap="1" wp14:anchorId="7F281C76" wp14:editId="28F59224">
          <wp:simplePos x="0" y="0"/>
          <wp:positionH relativeFrom="column">
            <wp:posOffset>4156483</wp:posOffset>
          </wp:positionH>
          <wp:positionV relativeFrom="paragraph">
            <wp:posOffset>-188967</wp:posOffset>
          </wp:positionV>
          <wp:extent cx="1449070" cy="676275"/>
          <wp:effectExtent l="0" t="0" r="0" b="0"/>
          <wp:wrapSquare wrapText="bothSides"/>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pic:cNvPicPr>
                    <a:picLocks noChangeAspect="1"/>
                  </pic:cNvPicPr>
                </pic:nvPicPr>
                <pic:blipFill>
                  <a:blip r:embed="rId1"/>
                  <a:stretch/>
                </pic:blipFill>
                <pic:spPr bwMode="auto">
                  <a:xfrm>
                    <a:off x="0" y="0"/>
                    <a:ext cx="1449070" cy="676275"/>
                  </a:xfrm>
                  <a:prstGeom prst="rect">
                    <a:avLst/>
                  </a:prstGeom>
                </pic:spPr>
              </pic:pic>
            </a:graphicData>
          </a:graphic>
        </wp:anchor>
      </w:drawing>
    </w:r>
    <w:r>
      <w:rPr>
        <w:noProof/>
        <w:lang w:eastAsia="fr-FR"/>
      </w:rPr>
      <w:drawing>
        <wp:anchor distT="0" distB="0" distL="114300" distR="114300" simplePos="0" relativeHeight="251664384" behindDoc="1" locked="0" layoutInCell="1" allowOverlap="1" wp14:anchorId="68723FE1" wp14:editId="3C0CFBB1">
          <wp:simplePos x="0" y="0"/>
          <wp:positionH relativeFrom="column">
            <wp:posOffset>-46307</wp:posOffset>
          </wp:positionH>
          <wp:positionV relativeFrom="paragraph">
            <wp:posOffset>-73887</wp:posOffset>
          </wp:positionV>
          <wp:extent cx="1276350" cy="565150"/>
          <wp:effectExtent l="0" t="0" r="0" b="6350"/>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3"/>
                  <pic:cNvPicPr>
                    <a:picLocks noChangeAspect="1"/>
                  </pic:cNvPicPr>
                </pic:nvPicPr>
                <pic:blipFill>
                  <a:blip r:embed="rId2">
                    <a:extLst>
                      <a:ext uri="{28A0092B-C50C-407E-A947-70E740481C1C}">
                        <a14:useLocalDpi xmlns:a14="http://schemas.microsoft.com/office/drawing/2010/main" val="0"/>
                      </a:ext>
                    </a:extLst>
                  </a:blip>
                  <a:stretch/>
                </pic:blipFill>
                <pic:spPr bwMode="auto">
                  <a:xfrm>
                    <a:off x="0" y="0"/>
                    <a:ext cx="1276350" cy="5651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E6273" w14:textId="77777777" w:rsidR="00806671" w:rsidRDefault="00806671" w:rsidP="0016336F">
      <w:pPr>
        <w:spacing w:after="0" w:line="240" w:lineRule="auto"/>
      </w:pPr>
      <w:r>
        <w:separator/>
      </w:r>
    </w:p>
  </w:footnote>
  <w:footnote w:type="continuationSeparator" w:id="0">
    <w:p w14:paraId="4092C362" w14:textId="77777777" w:rsidR="00806671" w:rsidRDefault="00806671" w:rsidP="00163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9A3D3" w14:textId="403792ED" w:rsidR="0016336F" w:rsidRDefault="0016336F">
    <w:pPr>
      <w:pStyle w:val="En-tte"/>
    </w:pPr>
  </w:p>
  <w:p w14:paraId="2243AAC9" w14:textId="3C28CB99" w:rsidR="0016336F" w:rsidRDefault="0016336F" w:rsidP="00F80244">
    <w:pPr>
      <w:pStyle w:val="En-tte"/>
      <w:jc w:val="center"/>
    </w:pPr>
  </w:p>
  <w:p w14:paraId="52E69AA0" w14:textId="40726891" w:rsidR="0016336F" w:rsidRDefault="0016336F">
    <w:pPr>
      <w:pStyle w:val="En-tte"/>
    </w:pPr>
  </w:p>
  <w:p w14:paraId="00226A75" w14:textId="435AAD92" w:rsidR="00591620" w:rsidRDefault="00591620">
    <w:pPr>
      <w:pStyle w:val="En-tte"/>
    </w:pPr>
  </w:p>
  <w:p w14:paraId="151F5445" w14:textId="77777777" w:rsidR="00591620" w:rsidRDefault="00591620">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B3BA4"/>
    <w:multiLevelType w:val="hybridMultilevel"/>
    <w:tmpl w:val="AB708196"/>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 w15:restartNumberingAfterBreak="0">
    <w:nsid w:val="0908364E"/>
    <w:multiLevelType w:val="hybridMultilevel"/>
    <w:tmpl w:val="7154185A"/>
    <w:lvl w:ilvl="0" w:tplc="C50AC4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6065F7"/>
    <w:multiLevelType w:val="hybridMultilevel"/>
    <w:tmpl w:val="28324F2C"/>
    <w:lvl w:ilvl="0" w:tplc="3F18D3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623B12"/>
    <w:multiLevelType w:val="hybridMultilevel"/>
    <w:tmpl w:val="9D36898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CF75FBC"/>
    <w:multiLevelType w:val="hybridMultilevel"/>
    <w:tmpl w:val="92A66326"/>
    <w:lvl w:ilvl="0" w:tplc="7520D24E">
      <w:start w:val="15"/>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D0609C"/>
    <w:multiLevelType w:val="hybridMultilevel"/>
    <w:tmpl w:val="05D2A2A4"/>
    <w:lvl w:ilvl="0" w:tplc="7520D24E">
      <w:start w:val="15"/>
      <w:numFmt w:val="bullet"/>
      <w:lvlText w:val="-"/>
      <w:lvlJc w:val="left"/>
      <w:pPr>
        <w:ind w:left="501" w:hanging="360"/>
      </w:pPr>
      <w:rPr>
        <w:rFonts w:ascii="Calibri" w:eastAsia="Times New Roman" w:hAnsi="Calibri" w:cs="Arial"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6" w15:restartNumberingAfterBreak="0">
    <w:nsid w:val="34943EE1"/>
    <w:multiLevelType w:val="hybridMultilevel"/>
    <w:tmpl w:val="000E69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5256BC8"/>
    <w:multiLevelType w:val="hybridMultilevel"/>
    <w:tmpl w:val="43383AA8"/>
    <w:lvl w:ilvl="0" w:tplc="00000001">
      <w:numFmt w:val="bullet"/>
      <w:lvlText w:val="-"/>
      <w:lvlJc w:val="left"/>
      <w:pPr>
        <w:ind w:left="501" w:hanging="360"/>
      </w:pPr>
      <w:rPr>
        <w:rFonts w:ascii="Calibri" w:hAnsi="Calibri" w:cs="Calibri"/>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8" w15:restartNumberingAfterBreak="0">
    <w:nsid w:val="532442D3"/>
    <w:multiLevelType w:val="hybridMultilevel"/>
    <w:tmpl w:val="917EFA72"/>
    <w:lvl w:ilvl="0" w:tplc="4CAE27BA">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065492C"/>
    <w:multiLevelType w:val="hybridMultilevel"/>
    <w:tmpl w:val="33F0ED3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2757960"/>
    <w:multiLevelType w:val="multilevel"/>
    <w:tmpl w:val="599C2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8A3BE0"/>
    <w:multiLevelType w:val="hybridMultilevel"/>
    <w:tmpl w:val="8974A5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C9E4765"/>
    <w:multiLevelType w:val="hybridMultilevel"/>
    <w:tmpl w:val="B0B49E36"/>
    <w:lvl w:ilvl="0" w:tplc="F94EB3EA">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0E3109F"/>
    <w:multiLevelType w:val="hybridMultilevel"/>
    <w:tmpl w:val="B978B0FE"/>
    <w:lvl w:ilvl="0" w:tplc="040C000F">
      <w:start w:val="1"/>
      <w:numFmt w:val="decimal"/>
      <w:lvlText w:val="%1."/>
      <w:lvlJc w:val="left"/>
      <w:pPr>
        <w:ind w:left="501" w:hanging="360"/>
      </w:pPr>
      <w:rPr>
        <w:rFonts w:hint="default"/>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num w:numId="1">
    <w:abstractNumId w:val="2"/>
  </w:num>
  <w:num w:numId="2">
    <w:abstractNumId w:val="13"/>
  </w:num>
  <w:num w:numId="3">
    <w:abstractNumId w:val="7"/>
  </w:num>
  <w:num w:numId="4">
    <w:abstractNumId w:val="11"/>
  </w:num>
  <w:num w:numId="5">
    <w:abstractNumId w:val="6"/>
  </w:num>
  <w:num w:numId="6">
    <w:abstractNumId w:val="1"/>
  </w:num>
  <w:num w:numId="7">
    <w:abstractNumId w:val="10"/>
  </w:num>
  <w:num w:numId="8">
    <w:abstractNumId w:val="0"/>
  </w:num>
  <w:num w:numId="9">
    <w:abstractNumId w:val="12"/>
  </w:num>
  <w:num w:numId="10">
    <w:abstractNumId w:val="9"/>
  </w:num>
  <w:num w:numId="11">
    <w:abstractNumId w:val="8"/>
  </w:num>
  <w:num w:numId="12">
    <w:abstractNumId w:val="5"/>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34"/>
    <w:rsid w:val="0005510B"/>
    <w:rsid w:val="00074134"/>
    <w:rsid w:val="000972D9"/>
    <w:rsid w:val="0016336F"/>
    <w:rsid w:val="00173310"/>
    <w:rsid w:val="001A5022"/>
    <w:rsid w:val="001D5542"/>
    <w:rsid w:val="001E3DBA"/>
    <w:rsid w:val="001F03E6"/>
    <w:rsid w:val="002649B2"/>
    <w:rsid w:val="00283CA4"/>
    <w:rsid w:val="002B0F91"/>
    <w:rsid w:val="002B4C41"/>
    <w:rsid w:val="002C6923"/>
    <w:rsid w:val="002D72B0"/>
    <w:rsid w:val="002F4462"/>
    <w:rsid w:val="00363EE4"/>
    <w:rsid w:val="0037739A"/>
    <w:rsid w:val="00384AA1"/>
    <w:rsid w:val="003871FB"/>
    <w:rsid w:val="003B4162"/>
    <w:rsid w:val="0046357E"/>
    <w:rsid w:val="00490B1D"/>
    <w:rsid w:val="004B4319"/>
    <w:rsid w:val="004B574C"/>
    <w:rsid w:val="00506C88"/>
    <w:rsid w:val="005462BC"/>
    <w:rsid w:val="00591620"/>
    <w:rsid w:val="005E6697"/>
    <w:rsid w:val="0061382F"/>
    <w:rsid w:val="00632A76"/>
    <w:rsid w:val="006564FE"/>
    <w:rsid w:val="0069760D"/>
    <w:rsid w:val="006C718D"/>
    <w:rsid w:val="006D3041"/>
    <w:rsid w:val="00710280"/>
    <w:rsid w:val="007764AE"/>
    <w:rsid w:val="00783453"/>
    <w:rsid w:val="007A0917"/>
    <w:rsid w:val="007E29C3"/>
    <w:rsid w:val="00800F0A"/>
    <w:rsid w:val="00806671"/>
    <w:rsid w:val="00832626"/>
    <w:rsid w:val="008634BC"/>
    <w:rsid w:val="00866CC4"/>
    <w:rsid w:val="00866FA6"/>
    <w:rsid w:val="00871DA9"/>
    <w:rsid w:val="00882E83"/>
    <w:rsid w:val="00887EF0"/>
    <w:rsid w:val="008973BC"/>
    <w:rsid w:val="008D4793"/>
    <w:rsid w:val="00910C37"/>
    <w:rsid w:val="009707A5"/>
    <w:rsid w:val="009B7E84"/>
    <w:rsid w:val="009E2628"/>
    <w:rsid w:val="009F17A5"/>
    <w:rsid w:val="009F65F5"/>
    <w:rsid w:val="00A53FCF"/>
    <w:rsid w:val="00A66C02"/>
    <w:rsid w:val="00A97426"/>
    <w:rsid w:val="00AC222B"/>
    <w:rsid w:val="00AC5B79"/>
    <w:rsid w:val="00AD0F9F"/>
    <w:rsid w:val="00B0766A"/>
    <w:rsid w:val="00B22FCD"/>
    <w:rsid w:val="00B5587D"/>
    <w:rsid w:val="00B70D64"/>
    <w:rsid w:val="00B7498A"/>
    <w:rsid w:val="00B9120A"/>
    <w:rsid w:val="00BD7A42"/>
    <w:rsid w:val="00BF6EAD"/>
    <w:rsid w:val="00BF7466"/>
    <w:rsid w:val="00C135F6"/>
    <w:rsid w:val="00C7534F"/>
    <w:rsid w:val="00C850F9"/>
    <w:rsid w:val="00C96B48"/>
    <w:rsid w:val="00CA7E97"/>
    <w:rsid w:val="00CE7187"/>
    <w:rsid w:val="00D231F6"/>
    <w:rsid w:val="00D34E86"/>
    <w:rsid w:val="00D71F16"/>
    <w:rsid w:val="00D95A50"/>
    <w:rsid w:val="00DD19B7"/>
    <w:rsid w:val="00E1009F"/>
    <w:rsid w:val="00E762D6"/>
    <w:rsid w:val="00EA51BA"/>
    <w:rsid w:val="00EF14E9"/>
    <w:rsid w:val="00F071D6"/>
    <w:rsid w:val="00F42C2B"/>
    <w:rsid w:val="00F7238E"/>
    <w:rsid w:val="00F80244"/>
    <w:rsid w:val="00F85256"/>
    <w:rsid w:val="00F93905"/>
    <w:rsid w:val="00FA339D"/>
    <w:rsid w:val="00FA6361"/>
    <w:rsid w:val="00FB7E27"/>
    <w:rsid w:val="00FE557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8FBB4"/>
  <w15:chartTrackingRefBased/>
  <w15:docId w15:val="{DC68D086-05A0-46F2-BA9A-915267FB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4E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6336F"/>
    <w:pPr>
      <w:tabs>
        <w:tab w:val="center" w:pos="4536"/>
        <w:tab w:val="right" w:pos="9072"/>
      </w:tabs>
      <w:spacing w:after="0" w:line="240" w:lineRule="auto"/>
    </w:pPr>
  </w:style>
  <w:style w:type="character" w:customStyle="1" w:styleId="En-tteCar">
    <w:name w:val="En-tête Car"/>
    <w:basedOn w:val="Policepardfaut"/>
    <w:link w:val="En-tte"/>
    <w:uiPriority w:val="99"/>
    <w:rsid w:val="0016336F"/>
  </w:style>
  <w:style w:type="paragraph" w:styleId="Pieddepage">
    <w:name w:val="footer"/>
    <w:basedOn w:val="Normal"/>
    <w:link w:val="PieddepageCar"/>
    <w:uiPriority w:val="99"/>
    <w:unhideWhenUsed/>
    <w:rsid w:val="001633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336F"/>
  </w:style>
  <w:style w:type="character" w:styleId="Marquedecommentaire">
    <w:name w:val="annotation reference"/>
    <w:basedOn w:val="Policepardfaut"/>
    <w:uiPriority w:val="99"/>
    <w:semiHidden/>
    <w:unhideWhenUsed/>
    <w:rsid w:val="0061382F"/>
    <w:rPr>
      <w:sz w:val="16"/>
      <w:szCs w:val="16"/>
    </w:rPr>
  </w:style>
  <w:style w:type="paragraph" w:styleId="Commentaire">
    <w:name w:val="annotation text"/>
    <w:basedOn w:val="Normal"/>
    <w:link w:val="CommentaireCar"/>
    <w:uiPriority w:val="99"/>
    <w:semiHidden/>
    <w:unhideWhenUsed/>
    <w:rsid w:val="0061382F"/>
    <w:pPr>
      <w:spacing w:line="240" w:lineRule="auto"/>
    </w:pPr>
    <w:rPr>
      <w:sz w:val="20"/>
      <w:szCs w:val="20"/>
    </w:rPr>
  </w:style>
  <w:style w:type="character" w:customStyle="1" w:styleId="CommentaireCar">
    <w:name w:val="Commentaire Car"/>
    <w:basedOn w:val="Policepardfaut"/>
    <w:link w:val="Commentaire"/>
    <w:uiPriority w:val="99"/>
    <w:semiHidden/>
    <w:rsid w:val="0061382F"/>
    <w:rPr>
      <w:sz w:val="20"/>
      <w:szCs w:val="20"/>
    </w:rPr>
  </w:style>
  <w:style w:type="paragraph" w:styleId="Objetducommentaire">
    <w:name w:val="annotation subject"/>
    <w:basedOn w:val="Commentaire"/>
    <w:next w:val="Commentaire"/>
    <w:link w:val="ObjetducommentaireCar"/>
    <w:uiPriority w:val="99"/>
    <w:semiHidden/>
    <w:unhideWhenUsed/>
    <w:rsid w:val="0061382F"/>
    <w:rPr>
      <w:b/>
      <w:bCs/>
    </w:rPr>
  </w:style>
  <w:style w:type="character" w:customStyle="1" w:styleId="ObjetducommentaireCar">
    <w:name w:val="Objet du commentaire Car"/>
    <w:basedOn w:val="CommentaireCar"/>
    <w:link w:val="Objetducommentaire"/>
    <w:uiPriority w:val="99"/>
    <w:semiHidden/>
    <w:rsid w:val="0061382F"/>
    <w:rPr>
      <w:b/>
      <w:bCs/>
      <w:sz w:val="20"/>
      <w:szCs w:val="20"/>
    </w:rPr>
  </w:style>
  <w:style w:type="paragraph" w:styleId="Paragraphedeliste">
    <w:name w:val="List Paragraph"/>
    <w:aliases w:val="Llista Nivell1,Lista de nivel 1,Paragraphe de liste PBLH,Bullet Points,Liste Paragraf,Indent Paragraph,Lettre d'introduction,Graph &amp; Table tite,List Paragraph (numbered (a)),Bullets,Dot pt,F5 List Paragraph,Indicator Text,References"/>
    <w:basedOn w:val="Normal"/>
    <w:link w:val="ParagraphedelisteCar"/>
    <w:uiPriority w:val="34"/>
    <w:qFormat/>
    <w:rsid w:val="001E3DBA"/>
    <w:pPr>
      <w:ind w:left="720"/>
      <w:contextualSpacing/>
    </w:pPr>
  </w:style>
  <w:style w:type="paragraph" w:customStyle="1" w:styleId="EXP-Contenu">
    <w:name w:val="EXP - Contenu"/>
    <w:basedOn w:val="Normal"/>
    <w:link w:val="EXP-ContenuCar"/>
    <w:qFormat/>
    <w:rsid w:val="001E3DBA"/>
    <w:pPr>
      <w:tabs>
        <w:tab w:val="right" w:leader="dot" w:pos="9923"/>
      </w:tabs>
      <w:spacing w:after="240" w:line="240" w:lineRule="auto"/>
      <w:ind w:left="709"/>
    </w:pPr>
    <w:rPr>
      <w:rFonts w:ascii="Arial" w:eastAsiaTheme="minorEastAsia" w:hAnsi="Arial" w:cs="Arial"/>
      <w:lang w:eastAsia="ja-JP"/>
    </w:rPr>
  </w:style>
  <w:style w:type="character" w:customStyle="1" w:styleId="EXP-ContenuCar">
    <w:name w:val="EXP - Contenu Car"/>
    <w:basedOn w:val="Policepardfaut"/>
    <w:link w:val="EXP-Contenu"/>
    <w:rsid w:val="001E3DBA"/>
    <w:rPr>
      <w:rFonts w:ascii="Arial" w:eastAsiaTheme="minorEastAsia" w:hAnsi="Arial" w:cs="Arial"/>
      <w:lang w:eastAsia="ja-JP"/>
    </w:rPr>
  </w:style>
  <w:style w:type="character" w:customStyle="1" w:styleId="ParagraphedelisteCar">
    <w:name w:val="Paragraphe de liste Car"/>
    <w:aliases w:val="Llista Nivell1 Car,Lista de nivel 1 Car,Paragraphe de liste PBLH Car,Bullet Points Car,Liste Paragraf Car,Indent Paragraph Car,Lettre d'introduction Car,Graph &amp; Table tite Car,List Paragraph (numbered (a)) Car,Bullets Car"/>
    <w:basedOn w:val="Policepardfaut"/>
    <w:link w:val="Paragraphedeliste"/>
    <w:uiPriority w:val="34"/>
    <w:qFormat/>
    <w:rsid w:val="001E3DBA"/>
  </w:style>
  <w:style w:type="character" w:styleId="Rfrenceintense">
    <w:name w:val="Intense Reference"/>
    <w:basedOn w:val="Policepardfaut"/>
    <w:uiPriority w:val="32"/>
    <w:qFormat/>
    <w:rsid w:val="001E3DBA"/>
    <w:rPr>
      <w:b/>
      <w:bCs/>
      <w:smallCaps/>
      <w:color w:val="4472C4" w:themeColor="accent1"/>
      <w:spacing w:val="5"/>
    </w:rPr>
  </w:style>
  <w:style w:type="character" w:styleId="Emphaseintense">
    <w:name w:val="Intense Emphasis"/>
    <w:basedOn w:val="Policepardfaut"/>
    <w:uiPriority w:val="21"/>
    <w:qFormat/>
    <w:rsid w:val="001E3DBA"/>
    <w:rPr>
      <w:i/>
      <w:iCs/>
      <w:color w:val="4472C4" w:themeColor="accent1"/>
    </w:rPr>
  </w:style>
  <w:style w:type="table" w:styleId="TableauGrille4-Accentuation1">
    <w:name w:val="Grid Table 4 Accent 1"/>
    <w:basedOn w:val="TableauNormal"/>
    <w:uiPriority w:val="49"/>
    <w:rsid w:val="00283CA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vision">
    <w:name w:val="Revision"/>
    <w:hidden/>
    <w:uiPriority w:val="99"/>
    <w:semiHidden/>
    <w:rsid w:val="00887EF0"/>
    <w:pPr>
      <w:spacing w:after="0" w:line="240" w:lineRule="auto"/>
    </w:pPr>
  </w:style>
  <w:style w:type="character" w:styleId="Lienhypertexte">
    <w:name w:val="Hyperlink"/>
    <w:basedOn w:val="Policepardfaut"/>
    <w:uiPriority w:val="99"/>
    <w:unhideWhenUsed/>
    <w:rsid w:val="00EF14E9"/>
    <w:rPr>
      <w:color w:val="0563C1" w:themeColor="hyperlink"/>
      <w:u w:val="single"/>
    </w:rPr>
  </w:style>
  <w:style w:type="table" w:styleId="Grilledutableau">
    <w:name w:val="Table Grid"/>
    <w:basedOn w:val="TableauNormal"/>
    <w:uiPriority w:val="39"/>
    <w:rsid w:val="004B5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Policepardfaut"/>
    <w:uiPriority w:val="99"/>
    <w:semiHidden/>
    <w:unhideWhenUsed/>
    <w:rsid w:val="004B574C"/>
    <w:rPr>
      <w:color w:val="605E5C"/>
      <w:shd w:val="clear" w:color="auto" w:fill="E1DFDD"/>
    </w:rPr>
  </w:style>
  <w:style w:type="character" w:styleId="Lienhypertextesuivivisit">
    <w:name w:val="FollowedHyperlink"/>
    <w:basedOn w:val="Policepardfaut"/>
    <w:uiPriority w:val="99"/>
    <w:semiHidden/>
    <w:unhideWhenUsed/>
    <w:rsid w:val="00783453"/>
    <w:rPr>
      <w:color w:val="954F72" w:themeColor="followedHyperlink"/>
      <w:u w:val="single"/>
    </w:rPr>
  </w:style>
  <w:style w:type="character" w:customStyle="1" w:styleId="Menzionenonrisolta2">
    <w:name w:val="Menzione non risolta2"/>
    <w:basedOn w:val="Policepardfaut"/>
    <w:uiPriority w:val="99"/>
    <w:semiHidden/>
    <w:unhideWhenUsed/>
    <w:rsid w:val="00F42C2B"/>
    <w:rPr>
      <w:color w:val="605E5C"/>
      <w:shd w:val="clear" w:color="auto" w:fill="E1DFDD"/>
    </w:rPr>
  </w:style>
  <w:style w:type="paragraph" w:styleId="Textedebulles">
    <w:name w:val="Balloon Text"/>
    <w:basedOn w:val="Normal"/>
    <w:link w:val="TextedebullesCar"/>
    <w:uiPriority w:val="99"/>
    <w:semiHidden/>
    <w:unhideWhenUsed/>
    <w:rsid w:val="002F446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F4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419248">
      <w:bodyDiv w:val="1"/>
      <w:marLeft w:val="0"/>
      <w:marRight w:val="0"/>
      <w:marTop w:val="0"/>
      <w:marBottom w:val="0"/>
      <w:divBdr>
        <w:top w:val="none" w:sz="0" w:space="0" w:color="auto"/>
        <w:left w:val="none" w:sz="0" w:space="0" w:color="auto"/>
        <w:bottom w:val="none" w:sz="0" w:space="0" w:color="auto"/>
        <w:right w:val="none" w:sz="0" w:space="0" w:color="auto"/>
      </w:divBdr>
      <w:divsChild>
        <w:div w:id="1401633648">
          <w:marLeft w:val="0"/>
          <w:marRight w:val="0"/>
          <w:marTop w:val="0"/>
          <w:marBottom w:val="0"/>
          <w:divBdr>
            <w:top w:val="none" w:sz="0" w:space="0" w:color="auto"/>
            <w:left w:val="none" w:sz="0" w:space="0" w:color="auto"/>
            <w:bottom w:val="none" w:sz="0" w:space="0" w:color="auto"/>
            <w:right w:val="none" w:sz="0" w:space="0" w:color="auto"/>
          </w:divBdr>
        </w:div>
        <w:div w:id="1048382315">
          <w:marLeft w:val="0"/>
          <w:marRight w:val="0"/>
          <w:marTop w:val="0"/>
          <w:marBottom w:val="0"/>
          <w:divBdr>
            <w:top w:val="none" w:sz="0" w:space="0" w:color="auto"/>
            <w:left w:val="none" w:sz="0" w:space="0" w:color="auto"/>
            <w:bottom w:val="none" w:sz="0" w:space="0" w:color="auto"/>
            <w:right w:val="none" w:sz="0" w:space="0" w:color="auto"/>
          </w:divBdr>
        </w:div>
        <w:div w:id="383141451">
          <w:marLeft w:val="0"/>
          <w:marRight w:val="0"/>
          <w:marTop w:val="0"/>
          <w:marBottom w:val="0"/>
          <w:divBdr>
            <w:top w:val="none" w:sz="0" w:space="0" w:color="auto"/>
            <w:left w:val="none" w:sz="0" w:space="0" w:color="auto"/>
            <w:bottom w:val="none" w:sz="0" w:space="0" w:color="auto"/>
            <w:right w:val="none" w:sz="0" w:space="0" w:color="auto"/>
          </w:divBdr>
        </w:div>
        <w:div w:id="475031146">
          <w:marLeft w:val="0"/>
          <w:marRight w:val="0"/>
          <w:marTop w:val="0"/>
          <w:marBottom w:val="0"/>
          <w:divBdr>
            <w:top w:val="none" w:sz="0" w:space="0" w:color="auto"/>
            <w:left w:val="none" w:sz="0" w:space="0" w:color="auto"/>
            <w:bottom w:val="none" w:sz="0" w:space="0" w:color="auto"/>
            <w:right w:val="none" w:sz="0" w:space="0" w:color="auto"/>
          </w:divBdr>
          <w:divsChild>
            <w:div w:id="1166555442">
              <w:marLeft w:val="0"/>
              <w:marRight w:val="0"/>
              <w:marTop w:val="0"/>
              <w:marBottom w:val="0"/>
              <w:divBdr>
                <w:top w:val="none" w:sz="0" w:space="0" w:color="auto"/>
                <w:left w:val="none" w:sz="0" w:space="0" w:color="auto"/>
                <w:bottom w:val="none" w:sz="0" w:space="0" w:color="auto"/>
                <w:right w:val="none" w:sz="0" w:space="0" w:color="auto"/>
              </w:divBdr>
            </w:div>
            <w:div w:id="1354108705">
              <w:marLeft w:val="0"/>
              <w:marRight w:val="0"/>
              <w:marTop w:val="0"/>
              <w:marBottom w:val="0"/>
              <w:divBdr>
                <w:top w:val="none" w:sz="0" w:space="0" w:color="auto"/>
                <w:left w:val="none" w:sz="0" w:space="0" w:color="auto"/>
                <w:bottom w:val="none" w:sz="0" w:space="0" w:color="auto"/>
                <w:right w:val="none" w:sz="0" w:space="0" w:color="auto"/>
              </w:divBdr>
            </w:div>
            <w:div w:id="1372028069">
              <w:marLeft w:val="0"/>
              <w:marRight w:val="0"/>
              <w:marTop w:val="0"/>
              <w:marBottom w:val="0"/>
              <w:divBdr>
                <w:top w:val="none" w:sz="0" w:space="0" w:color="auto"/>
                <w:left w:val="none" w:sz="0" w:space="0" w:color="auto"/>
                <w:bottom w:val="none" w:sz="0" w:space="0" w:color="auto"/>
                <w:right w:val="none" w:sz="0" w:space="0" w:color="auto"/>
              </w:divBdr>
            </w:div>
            <w:div w:id="2040280422">
              <w:marLeft w:val="0"/>
              <w:marRight w:val="0"/>
              <w:marTop w:val="0"/>
              <w:marBottom w:val="0"/>
              <w:divBdr>
                <w:top w:val="none" w:sz="0" w:space="0" w:color="auto"/>
                <w:left w:val="none" w:sz="0" w:space="0" w:color="auto"/>
                <w:bottom w:val="none" w:sz="0" w:space="0" w:color="auto"/>
                <w:right w:val="none" w:sz="0" w:space="0" w:color="auto"/>
              </w:divBdr>
            </w:div>
            <w:div w:id="7355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ps.expertisefrance.fr/sdm/ent/gen/ent_detail.do?PCSLID=CSL_2026_LyU3WKeppU&amp;v=1&amp;select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6web.zoom.us/j/87051081539"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4339</Characters>
  <Application>Microsoft Office Word</Application>
  <DocSecurity>0</DocSecurity>
  <Lines>36</Lines>
  <Paragraphs>10</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khadijaaitssi@outlook.com</dc:creator>
  <cp:keywords/>
  <dc:description/>
  <cp:lastModifiedBy>Sara CHEDAD</cp:lastModifiedBy>
  <cp:revision>3</cp:revision>
  <cp:lastPrinted>2022-01-10T16:35:00Z</cp:lastPrinted>
  <dcterms:created xsi:type="dcterms:W3CDTF">2026-10-13T10:21:00Z</dcterms:created>
  <dcterms:modified xsi:type="dcterms:W3CDTF">2026-10-13T10:21:00Z</dcterms:modified>
</cp:coreProperties>
</file>