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F0" w:rsidRDefault="007103F0" w:rsidP="007103F0">
      <w:pPr>
        <w:pStyle w:val="TableParagraph"/>
        <w:ind w:firstLine="708"/>
        <w:jc w:val="both"/>
        <w:rPr>
          <w:rFonts w:asciiTheme="majorBidi" w:hAnsiTheme="majorBidi" w:cstheme="majorBidi"/>
          <w:lang w:eastAsia="es-ES"/>
        </w:rPr>
      </w:pPr>
      <w:r>
        <w:rPr>
          <w:rFonts w:asciiTheme="majorBidi" w:hAnsiTheme="majorBidi" w:cstheme="majorBid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-513715</wp:posOffset>
            </wp:positionV>
            <wp:extent cx="1803600" cy="925200"/>
            <wp:effectExtent l="0" t="0" r="635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3F0" w:rsidRDefault="007103F0" w:rsidP="007103F0">
      <w:pPr>
        <w:pStyle w:val="TableParagraph"/>
        <w:ind w:firstLine="708"/>
        <w:jc w:val="both"/>
        <w:rPr>
          <w:rFonts w:asciiTheme="majorBidi" w:hAnsiTheme="majorBidi" w:cstheme="majorBidi"/>
          <w:lang w:eastAsia="es-ES"/>
        </w:rPr>
      </w:pPr>
    </w:p>
    <w:p w:rsidR="007103F0" w:rsidRDefault="007103F0" w:rsidP="007103F0">
      <w:pPr>
        <w:pStyle w:val="TableParagraph"/>
        <w:ind w:firstLine="708"/>
        <w:jc w:val="both"/>
        <w:rPr>
          <w:rFonts w:asciiTheme="majorBidi" w:hAnsiTheme="majorBidi" w:cstheme="majorBidi"/>
          <w:lang w:eastAsia="es-ES"/>
        </w:rPr>
      </w:pPr>
    </w:p>
    <w:p w:rsidR="007103F0" w:rsidRDefault="007103F0" w:rsidP="007103F0">
      <w:pPr>
        <w:pStyle w:val="TableParagraph"/>
        <w:ind w:firstLine="708"/>
        <w:jc w:val="both"/>
        <w:rPr>
          <w:rFonts w:asciiTheme="majorBidi" w:hAnsiTheme="majorBidi" w:cstheme="majorBidi"/>
          <w:lang w:eastAsia="es-ES"/>
        </w:rPr>
      </w:pPr>
    </w:p>
    <w:p w:rsidR="00BB502D" w:rsidRDefault="00BB502D" w:rsidP="00BB502D">
      <w:pPr>
        <w:pStyle w:val="TableParagraph"/>
        <w:ind w:firstLine="708"/>
        <w:jc w:val="both"/>
        <w:rPr>
          <w:rFonts w:asciiTheme="majorBidi" w:hAnsiTheme="majorBidi" w:cstheme="majorBidi"/>
          <w:lang w:eastAsia="es-ES"/>
        </w:rPr>
      </w:pPr>
    </w:p>
    <w:p w:rsidR="007103F0" w:rsidRDefault="005D131C" w:rsidP="00BB502D">
      <w:pPr>
        <w:pStyle w:val="TableParagraph"/>
        <w:ind w:firstLine="708"/>
        <w:jc w:val="both"/>
        <w:rPr>
          <w:rFonts w:asciiTheme="majorBidi" w:hAnsiTheme="majorBidi" w:cstheme="majorBidi"/>
        </w:rPr>
      </w:pPr>
      <w:r w:rsidRPr="007103F0">
        <w:rPr>
          <w:rFonts w:asciiTheme="majorBidi" w:hAnsiTheme="majorBidi" w:cstheme="majorBidi"/>
          <w:lang w:eastAsia="es-ES"/>
        </w:rPr>
        <w:t>Dans le cadre de projet « </w:t>
      </w:r>
      <w:r w:rsidRPr="007103F0">
        <w:rPr>
          <w:rFonts w:asciiTheme="majorBidi" w:hAnsiTheme="majorBidi" w:cstheme="majorBidi"/>
          <w:b/>
          <w:bCs/>
          <w:i/>
        </w:rPr>
        <w:t>Renouvellement global de l'économie circulaire des métiers du cuir de la médina de Tétouan</w:t>
      </w:r>
      <w:r w:rsidRPr="007103F0">
        <w:rPr>
          <w:rFonts w:asciiTheme="majorBidi" w:hAnsiTheme="majorBidi" w:cstheme="majorBidi"/>
          <w:i/>
        </w:rPr>
        <w:t> »</w:t>
      </w:r>
      <w:r w:rsidR="001117E1">
        <w:rPr>
          <w:rFonts w:asciiTheme="majorBidi" w:hAnsiTheme="majorBidi" w:cstheme="majorBidi"/>
          <w:i/>
        </w:rPr>
        <w:t xml:space="preserve">, </w:t>
      </w:r>
      <w:r w:rsidRPr="007103F0">
        <w:rPr>
          <w:rFonts w:asciiTheme="majorBidi" w:hAnsiTheme="majorBidi" w:cstheme="majorBidi"/>
          <w:i/>
        </w:rPr>
        <w:t xml:space="preserve"> </w:t>
      </w:r>
      <w:r w:rsidR="001117E1" w:rsidRPr="007103F0">
        <w:rPr>
          <w:rFonts w:asciiTheme="majorBidi" w:hAnsiTheme="majorBidi" w:cstheme="majorBidi"/>
          <w:i/>
        </w:rPr>
        <w:t>fi</w:t>
      </w:r>
      <w:r w:rsidR="001117E1">
        <w:rPr>
          <w:rFonts w:asciiTheme="majorBidi" w:hAnsiTheme="majorBidi" w:cstheme="majorBidi"/>
          <w:i/>
        </w:rPr>
        <w:t>n</w:t>
      </w:r>
      <w:r w:rsidR="001117E1" w:rsidRPr="007103F0">
        <w:rPr>
          <w:rFonts w:asciiTheme="majorBidi" w:hAnsiTheme="majorBidi" w:cstheme="majorBidi"/>
          <w:i/>
        </w:rPr>
        <w:t>anc</w:t>
      </w:r>
      <w:r w:rsidR="001117E1">
        <w:rPr>
          <w:rFonts w:asciiTheme="majorBidi" w:hAnsiTheme="majorBidi" w:cstheme="majorBidi"/>
          <w:i/>
        </w:rPr>
        <w:t>é</w:t>
      </w:r>
      <w:r w:rsidRPr="007103F0">
        <w:rPr>
          <w:rFonts w:asciiTheme="majorBidi" w:hAnsiTheme="majorBidi" w:cstheme="majorBidi"/>
          <w:i/>
        </w:rPr>
        <w:t xml:space="preserve"> par l’AECID et port</w:t>
      </w:r>
      <w:r w:rsidR="003D2793" w:rsidRPr="007103F0">
        <w:rPr>
          <w:rFonts w:asciiTheme="majorBidi" w:hAnsiTheme="majorBidi" w:cstheme="majorBidi"/>
          <w:i/>
        </w:rPr>
        <w:t>é</w:t>
      </w:r>
      <w:r w:rsidRPr="007103F0">
        <w:rPr>
          <w:rFonts w:asciiTheme="majorBidi" w:hAnsiTheme="majorBidi" w:cstheme="majorBidi"/>
          <w:i/>
        </w:rPr>
        <w:t xml:space="preserve"> par l’association des </w:t>
      </w:r>
      <w:r w:rsidR="003D2793" w:rsidRPr="007103F0">
        <w:rPr>
          <w:rFonts w:asciiTheme="majorBidi" w:hAnsiTheme="majorBidi" w:cstheme="majorBidi"/>
          <w:i/>
        </w:rPr>
        <w:t xml:space="preserve">métiers </w:t>
      </w:r>
      <w:r w:rsidRPr="007103F0">
        <w:rPr>
          <w:rFonts w:asciiTheme="majorBidi" w:hAnsiTheme="majorBidi" w:cstheme="majorBidi"/>
          <w:i/>
        </w:rPr>
        <w:t xml:space="preserve">artistiques et </w:t>
      </w:r>
      <w:r w:rsidR="003D2793" w:rsidRPr="007103F0">
        <w:rPr>
          <w:rFonts w:asciiTheme="majorBidi" w:hAnsiTheme="majorBidi" w:cstheme="majorBidi"/>
          <w:i/>
        </w:rPr>
        <w:t>créati</w:t>
      </w:r>
      <w:r w:rsidR="003D2793" w:rsidRPr="007103F0">
        <w:rPr>
          <w:rFonts w:asciiTheme="majorBidi" w:hAnsiTheme="majorBidi" w:cstheme="majorBidi"/>
          <w:lang w:eastAsia="es-ES"/>
        </w:rPr>
        <w:t>fs</w:t>
      </w:r>
      <w:r w:rsidRPr="007103F0">
        <w:rPr>
          <w:rFonts w:asciiTheme="majorBidi" w:hAnsiTheme="majorBidi" w:cstheme="majorBidi"/>
          <w:lang w:eastAsia="es-ES"/>
        </w:rPr>
        <w:t xml:space="preserve"> de </w:t>
      </w:r>
      <w:r w:rsidR="003D2793" w:rsidRPr="007103F0">
        <w:rPr>
          <w:rFonts w:asciiTheme="majorBidi" w:hAnsiTheme="majorBidi" w:cstheme="majorBidi"/>
          <w:lang w:eastAsia="es-ES"/>
        </w:rPr>
        <w:t>Tétouan</w:t>
      </w:r>
      <w:r w:rsidRPr="007103F0">
        <w:rPr>
          <w:rFonts w:asciiTheme="majorBidi" w:hAnsiTheme="majorBidi" w:cstheme="majorBidi"/>
          <w:lang w:eastAsia="es-ES"/>
        </w:rPr>
        <w:t xml:space="preserve"> (AMAC), lance </w:t>
      </w:r>
      <w:r w:rsidR="003D2793" w:rsidRPr="007103F0">
        <w:rPr>
          <w:rFonts w:asciiTheme="majorBidi" w:hAnsiTheme="majorBidi" w:cstheme="majorBidi"/>
          <w:lang w:eastAsia="es-ES"/>
        </w:rPr>
        <w:t xml:space="preserve">un </w:t>
      </w:r>
      <w:r w:rsidR="003D2793" w:rsidRPr="007103F0">
        <w:rPr>
          <w:rFonts w:asciiTheme="majorBidi" w:hAnsiTheme="majorBidi" w:cstheme="majorBidi"/>
        </w:rPr>
        <w:t>CAHIER DES PRESCRIPTIONS SPECIALES (CPS) pour un APPEL D’OFFRE N° AMAC- 26 -0</w:t>
      </w:r>
      <w:r w:rsidR="00BB502D">
        <w:rPr>
          <w:rFonts w:asciiTheme="majorBidi" w:hAnsiTheme="majorBidi" w:cstheme="majorBidi"/>
        </w:rPr>
        <w:t>2</w:t>
      </w:r>
      <w:r w:rsidR="003D2793" w:rsidRPr="007103F0">
        <w:rPr>
          <w:rFonts w:asciiTheme="majorBidi" w:hAnsiTheme="majorBidi" w:cstheme="majorBidi"/>
        </w:rPr>
        <w:t>. Consistant à</w:t>
      </w:r>
      <w:r w:rsidR="007103F0">
        <w:rPr>
          <w:rFonts w:asciiTheme="majorBidi" w:hAnsiTheme="majorBidi" w:cstheme="majorBidi"/>
        </w:rPr>
        <w:t> :</w:t>
      </w:r>
    </w:p>
    <w:p w:rsidR="007103F0" w:rsidRDefault="007103F0" w:rsidP="007103F0">
      <w:pPr>
        <w:pStyle w:val="TableParagraph"/>
        <w:ind w:firstLine="708"/>
        <w:jc w:val="both"/>
        <w:rPr>
          <w:rFonts w:asciiTheme="majorBidi" w:hAnsiTheme="majorBidi" w:cstheme="majorBidi"/>
        </w:rPr>
      </w:pPr>
    </w:p>
    <w:p w:rsidR="000B7436" w:rsidRDefault="000B7436" w:rsidP="000B7436">
      <w:pPr>
        <w:pStyle w:val="Paragraphedeliste"/>
        <w:numPr>
          <w:ilvl w:val="0"/>
          <w:numId w:val="1"/>
        </w:numPr>
        <w:rPr>
          <w:rFonts w:ascii="Book Antiqua" w:hAnsi="Book Antiqua"/>
          <w:b/>
          <w:bCs/>
          <w:sz w:val="28"/>
          <w:szCs w:val="28"/>
        </w:rPr>
      </w:pPr>
      <w:r w:rsidRPr="000B7436">
        <w:rPr>
          <w:rFonts w:ascii="Book Antiqua" w:hAnsi="Book Antiqua"/>
          <w:b/>
          <w:bCs/>
          <w:sz w:val="28"/>
          <w:szCs w:val="28"/>
        </w:rPr>
        <w:t xml:space="preserve">Etude de l’écosystème de cuir dans la région de Tanger Tétouan Al Hoceima </w:t>
      </w:r>
      <w:r>
        <w:rPr>
          <w:rFonts w:ascii="Book Antiqua" w:hAnsi="Book Antiqua"/>
          <w:b/>
          <w:bCs/>
          <w:sz w:val="28"/>
          <w:szCs w:val="28"/>
        </w:rPr>
        <w:t>–</w:t>
      </w:r>
      <w:r w:rsidRPr="000B7436">
        <w:rPr>
          <w:rFonts w:ascii="Book Antiqua" w:hAnsi="Book Antiqua"/>
          <w:b/>
          <w:bCs/>
          <w:sz w:val="28"/>
          <w:szCs w:val="28"/>
        </w:rPr>
        <w:t xml:space="preserve"> Maroc</w:t>
      </w:r>
    </w:p>
    <w:p w:rsidR="000B7436" w:rsidRDefault="000B7436" w:rsidP="000B7436">
      <w:pPr>
        <w:pStyle w:val="Paragraphedeliste"/>
        <w:ind w:left="1068"/>
        <w:rPr>
          <w:rFonts w:ascii="Book Antiqua" w:hAnsi="Book Antiqua"/>
          <w:b/>
          <w:bCs/>
          <w:sz w:val="28"/>
          <w:szCs w:val="28"/>
        </w:rPr>
      </w:pPr>
    </w:p>
    <w:p w:rsidR="000B7436" w:rsidRPr="000B7436" w:rsidRDefault="000B7436" w:rsidP="000B7436">
      <w:pPr>
        <w:pStyle w:val="Paragraphedeliste"/>
        <w:ind w:left="1068"/>
        <w:rPr>
          <w:rFonts w:ascii="Book Antiqua" w:hAnsi="Book Antiqua"/>
          <w:i/>
          <w:iCs/>
          <w:sz w:val="28"/>
          <w:szCs w:val="28"/>
          <w:u w:val="single"/>
        </w:rPr>
      </w:pPr>
      <w:r w:rsidRPr="000B7436">
        <w:rPr>
          <w:rFonts w:ascii="Book Antiqua" w:hAnsi="Book Antiqua"/>
          <w:i/>
          <w:iCs/>
          <w:sz w:val="28"/>
          <w:szCs w:val="28"/>
          <w:u w:val="single"/>
        </w:rPr>
        <w:t>En Particulier :</w:t>
      </w:r>
    </w:p>
    <w:p w:rsidR="000B7436" w:rsidRDefault="000B7436" w:rsidP="000B7436">
      <w:pPr>
        <w:pStyle w:val="Paragraphedeliste"/>
        <w:ind w:left="1068"/>
        <w:rPr>
          <w:rFonts w:ascii="Book Antiqua" w:hAnsi="Book Antiqua"/>
          <w:b/>
          <w:bCs/>
          <w:sz w:val="28"/>
          <w:szCs w:val="28"/>
        </w:rPr>
      </w:pPr>
    </w:p>
    <w:p w:rsidR="000B7436" w:rsidRPr="000B7436" w:rsidRDefault="000B7436" w:rsidP="000B7436">
      <w:pPr>
        <w:pStyle w:val="Paragraphedeliste"/>
        <w:numPr>
          <w:ilvl w:val="0"/>
          <w:numId w:val="1"/>
        </w:numPr>
        <w:rPr>
          <w:rFonts w:ascii="Book Antiqua" w:hAnsi="Book Antiqua"/>
          <w:b/>
          <w:bCs/>
          <w:sz w:val="28"/>
          <w:szCs w:val="28"/>
        </w:rPr>
      </w:pPr>
      <w:r w:rsidRPr="000B7436">
        <w:rPr>
          <w:rFonts w:ascii="Garamond" w:eastAsia="Garamond" w:hAnsi="Garamond" w:cs="Garamond"/>
          <w:i/>
          <w:iCs/>
          <w:color w:val="000000"/>
          <w:sz w:val="28"/>
          <w:szCs w:val="28"/>
          <w:u w:val="single"/>
        </w:rPr>
        <w:t xml:space="preserve">  </w:t>
      </w:r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l’étude architecturale et </w:t>
      </w:r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>d</w:t>
      </w:r>
      <w:r w:rsidRPr="000B7436">
        <w:rPr>
          <w:rFonts w:ascii="Garamond" w:hAnsi="Garamond"/>
          <w:b/>
          <w:bCs/>
          <w:i/>
          <w:iCs/>
          <w:sz w:val="28"/>
          <w:szCs w:val="28"/>
          <w:u w:val="single"/>
        </w:rPr>
        <w:t>’ingénierie</w:t>
      </w:r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>lié</w:t>
      </w:r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>es</w:t>
      </w:r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 à la réhabilitation et la restauration de Dar </w:t>
      </w:r>
      <w:proofErr w:type="spellStart"/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>Dbagh</w:t>
      </w:r>
      <w:proofErr w:type="spellEnd"/>
      <w:r w:rsidRPr="000B7436">
        <w:rPr>
          <w:rFonts w:ascii="Garamond" w:eastAsia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 de la médina de Tétouan.</w:t>
      </w:r>
    </w:p>
    <w:p w:rsidR="00BB502D" w:rsidRPr="00BB502D" w:rsidRDefault="00BB502D" w:rsidP="000B7436">
      <w:pPr>
        <w:pStyle w:val="Paragraphedeliste"/>
        <w:ind w:left="1068"/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</w:p>
    <w:p w:rsidR="003D2793" w:rsidRPr="007103F0" w:rsidRDefault="003D2793" w:rsidP="00BB502D">
      <w:pPr>
        <w:pStyle w:val="TableParagraph"/>
        <w:ind w:left="1068"/>
        <w:jc w:val="both"/>
        <w:rPr>
          <w:rFonts w:asciiTheme="majorBidi" w:hAnsiTheme="majorBidi" w:cstheme="majorBidi"/>
        </w:rPr>
      </w:pPr>
    </w:p>
    <w:p w:rsidR="003D2793" w:rsidRPr="007103F0" w:rsidRDefault="003D2793" w:rsidP="003D2793">
      <w:pPr>
        <w:widowControl/>
        <w:shd w:val="clear" w:color="auto" w:fill="FFFFFF"/>
        <w:autoSpaceDE/>
        <w:autoSpaceDN/>
        <w:jc w:val="both"/>
        <w:rPr>
          <w:rFonts w:asciiTheme="majorBidi" w:hAnsiTheme="majorBidi" w:cstheme="majorBidi"/>
          <w:smallCaps/>
        </w:rPr>
      </w:pPr>
    </w:p>
    <w:p w:rsidR="00BB502D" w:rsidRDefault="003D2793" w:rsidP="00BB502D">
      <w:pPr>
        <w:widowControl/>
        <w:shd w:val="clear" w:color="auto" w:fill="FFFFFF"/>
        <w:autoSpaceDE/>
        <w:autoSpaceDN/>
        <w:ind w:firstLine="708"/>
        <w:jc w:val="both"/>
        <w:rPr>
          <w:rFonts w:asciiTheme="majorBidi" w:hAnsiTheme="majorBidi" w:cstheme="majorBidi"/>
          <w:lang w:eastAsia="en-US" w:bidi="ar-SA"/>
        </w:rPr>
      </w:pPr>
      <w:r w:rsidRPr="007103F0">
        <w:rPr>
          <w:rFonts w:asciiTheme="majorBidi" w:hAnsiTheme="majorBidi" w:cstheme="majorBidi"/>
        </w:rPr>
        <w:t>Il s’agit de</w:t>
      </w:r>
      <w:r w:rsidR="00BB502D">
        <w:rPr>
          <w:rFonts w:asciiTheme="majorBidi" w:hAnsiTheme="majorBidi" w:cstheme="majorBidi"/>
        </w:rPr>
        <w:t xml:space="preserve"> la réalisation d’une étude détalé sur l’écosystème de cuir dans la région de Tanger Tétouan Al-Hoceima ainsi que celui de l’ingénierie et de suivi du projet de</w:t>
      </w:r>
      <w:r w:rsidRPr="007103F0">
        <w:rPr>
          <w:rFonts w:asciiTheme="majorBidi" w:hAnsiTheme="majorBidi" w:cstheme="majorBidi"/>
        </w:rPr>
        <w:t xml:space="preserve"> la </w:t>
      </w:r>
      <w:r w:rsidRPr="007103F0">
        <w:rPr>
          <w:rFonts w:asciiTheme="majorBidi" w:hAnsiTheme="majorBidi" w:cstheme="majorBidi"/>
          <w:lang w:eastAsia="en-US" w:bidi="ar-SA"/>
        </w:rPr>
        <w:t>Réhabilitation de</w:t>
      </w:r>
      <w:r w:rsidR="00BB502D">
        <w:rPr>
          <w:rFonts w:asciiTheme="majorBidi" w:hAnsiTheme="majorBidi" w:cstheme="majorBidi"/>
          <w:lang w:eastAsia="en-US" w:bidi="ar-SA"/>
        </w:rPr>
        <w:t xml:space="preserve"> l'ancienne tannerie de Tétouan.</w:t>
      </w:r>
      <w:r w:rsidRPr="007103F0">
        <w:rPr>
          <w:rFonts w:asciiTheme="majorBidi" w:hAnsiTheme="majorBidi" w:cstheme="majorBidi"/>
          <w:lang w:eastAsia="en-US" w:bidi="ar-SA"/>
        </w:rPr>
        <w:t xml:space="preserve"> </w:t>
      </w:r>
      <w:r w:rsidR="00BB502D" w:rsidRPr="007103F0">
        <w:rPr>
          <w:rFonts w:asciiTheme="majorBidi" w:hAnsiTheme="majorBidi" w:cstheme="majorBidi"/>
          <w:lang w:eastAsia="en-US" w:bidi="ar-SA"/>
        </w:rPr>
        <w:t>Une</w:t>
      </w:r>
      <w:r w:rsidRPr="007103F0">
        <w:rPr>
          <w:rFonts w:asciiTheme="majorBidi" w:hAnsiTheme="majorBidi" w:cstheme="majorBidi"/>
          <w:lang w:eastAsia="en-US" w:bidi="ar-SA"/>
        </w:rPr>
        <w:t xml:space="preserve"> installation </w:t>
      </w:r>
      <w:r w:rsidR="00BB502D">
        <w:rPr>
          <w:rFonts w:asciiTheme="majorBidi" w:hAnsiTheme="majorBidi" w:cstheme="majorBidi"/>
          <w:lang w:eastAsia="en-US" w:bidi="ar-SA"/>
        </w:rPr>
        <w:t>culturelle et industrielle comme</w:t>
      </w:r>
      <w:r w:rsidRPr="007103F0">
        <w:rPr>
          <w:rFonts w:asciiTheme="majorBidi" w:hAnsiTheme="majorBidi" w:cstheme="majorBidi"/>
          <w:lang w:eastAsia="en-US" w:bidi="ar-SA"/>
        </w:rPr>
        <w:t xml:space="preserve"> activité</w:t>
      </w:r>
      <w:r w:rsidR="00BB502D">
        <w:rPr>
          <w:rFonts w:asciiTheme="majorBidi" w:hAnsiTheme="majorBidi" w:cstheme="majorBidi"/>
          <w:lang w:eastAsia="en-US" w:bidi="ar-SA"/>
        </w:rPr>
        <w:t>s</w:t>
      </w:r>
      <w:r w:rsidRPr="007103F0">
        <w:rPr>
          <w:rFonts w:asciiTheme="majorBidi" w:hAnsiTheme="majorBidi" w:cstheme="majorBidi"/>
          <w:lang w:eastAsia="en-US" w:bidi="ar-SA"/>
        </w:rPr>
        <w:t xml:space="preserve"> qui illustreront le développement de ce secteur </w:t>
      </w:r>
      <w:r w:rsidR="00BB502D">
        <w:rPr>
          <w:rFonts w:asciiTheme="majorBidi" w:hAnsiTheme="majorBidi" w:cstheme="majorBidi"/>
          <w:lang w:eastAsia="en-US" w:bidi="ar-SA"/>
        </w:rPr>
        <w:t>dans la région TTA en particulier et au Maroc,</w:t>
      </w:r>
    </w:p>
    <w:p w:rsidR="00BB502D" w:rsidRDefault="003D2793" w:rsidP="00BB502D">
      <w:pPr>
        <w:widowControl/>
        <w:shd w:val="clear" w:color="auto" w:fill="FFFFFF"/>
        <w:autoSpaceDE/>
        <w:autoSpaceDN/>
        <w:ind w:firstLine="708"/>
        <w:jc w:val="both"/>
        <w:rPr>
          <w:rFonts w:asciiTheme="majorBidi" w:hAnsiTheme="majorBidi" w:cstheme="majorBidi"/>
          <w:lang w:eastAsia="en-US" w:bidi="ar-SA"/>
        </w:rPr>
      </w:pPr>
      <w:r w:rsidRPr="007103F0">
        <w:rPr>
          <w:rFonts w:asciiTheme="majorBidi" w:hAnsiTheme="majorBidi" w:cstheme="majorBidi"/>
          <w:lang w:eastAsia="en-US" w:bidi="ar-SA"/>
        </w:rPr>
        <w:t xml:space="preserve"> </w:t>
      </w:r>
    </w:p>
    <w:p w:rsidR="007103F0" w:rsidRDefault="003D2793" w:rsidP="00BB502D">
      <w:pPr>
        <w:widowControl/>
        <w:shd w:val="clear" w:color="auto" w:fill="FFFFFF"/>
        <w:autoSpaceDE/>
        <w:autoSpaceDN/>
        <w:ind w:firstLine="708"/>
        <w:jc w:val="both"/>
        <w:rPr>
          <w:rFonts w:asciiTheme="majorBidi" w:hAnsiTheme="majorBidi" w:cstheme="majorBidi"/>
          <w:lang w:eastAsia="en-US" w:bidi="ar-SA"/>
        </w:rPr>
      </w:pPr>
      <w:r w:rsidRPr="007103F0">
        <w:rPr>
          <w:rFonts w:asciiTheme="majorBidi" w:hAnsiTheme="majorBidi" w:cstheme="majorBidi"/>
          <w:lang w:eastAsia="en-US" w:bidi="ar-SA"/>
        </w:rPr>
        <w:t>L'ancienne tannerie deviendra ainsi plus attractive pour les touristes et pour une adaptation adéquate sur une économie circulaire durable.</w:t>
      </w:r>
    </w:p>
    <w:p w:rsidR="007103F0" w:rsidRDefault="007103F0" w:rsidP="007103F0">
      <w:pPr>
        <w:widowControl/>
        <w:shd w:val="clear" w:color="auto" w:fill="FFFFFF"/>
        <w:autoSpaceDE/>
        <w:autoSpaceDN/>
        <w:ind w:firstLine="708"/>
        <w:jc w:val="both"/>
        <w:rPr>
          <w:rFonts w:asciiTheme="majorBidi" w:hAnsiTheme="majorBidi" w:cstheme="majorBidi"/>
          <w:lang w:eastAsia="en-US" w:bidi="ar-SA"/>
        </w:rPr>
      </w:pPr>
    </w:p>
    <w:p w:rsidR="003D2793" w:rsidRPr="007103F0" w:rsidRDefault="003D2793" w:rsidP="003D2793">
      <w:pPr>
        <w:widowControl/>
        <w:autoSpaceDE/>
        <w:jc w:val="both"/>
        <w:rPr>
          <w:rFonts w:ascii="Times New Roman" w:hAnsi="Times New Roman" w:cs="Times New Roman"/>
          <w:lang w:eastAsia="en-US" w:bidi="ar-SA"/>
        </w:rPr>
      </w:pPr>
    </w:p>
    <w:p w:rsidR="007103F0" w:rsidRDefault="007103F0" w:rsidP="007103F0">
      <w:pPr>
        <w:widowControl/>
        <w:autoSpaceDE/>
        <w:jc w:val="both"/>
        <w:rPr>
          <w:rFonts w:asciiTheme="majorBidi" w:hAnsiTheme="majorBidi" w:cstheme="majorBidi"/>
          <w:shd w:val="clear" w:color="auto" w:fill="FFFFFF"/>
        </w:rPr>
      </w:pPr>
    </w:p>
    <w:p w:rsidR="007103F0" w:rsidRDefault="007103F0" w:rsidP="007103F0">
      <w:pPr>
        <w:widowControl/>
        <w:autoSpaceDE/>
        <w:ind w:firstLine="708"/>
        <w:jc w:val="both"/>
        <w:rPr>
          <w:rFonts w:asciiTheme="majorBidi" w:hAnsiTheme="majorBidi" w:cstheme="majorBidi"/>
          <w:shd w:val="clear" w:color="auto" w:fill="FFFFFF"/>
        </w:rPr>
      </w:pPr>
      <w:r w:rsidRPr="007103F0">
        <w:rPr>
          <w:rFonts w:asciiTheme="majorBidi" w:hAnsiTheme="majorBidi" w:cstheme="majorBidi"/>
          <w:shd w:val="clear" w:color="auto" w:fill="FFFFFF"/>
        </w:rPr>
        <w:t xml:space="preserve">Pour plus de détails, veuillez consulter les CPS ci </w:t>
      </w:r>
      <w:r w:rsidR="001117E1" w:rsidRPr="007103F0">
        <w:rPr>
          <w:rFonts w:asciiTheme="majorBidi" w:hAnsiTheme="majorBidi" w:cstheme="majorBidi"/>
          <w:shd w:val="clear" w:color="auto" w:fill="FFFFFF"/>
        </w:rPr>
        <w:t>Joints.</w:t>
      </w:r>
    </w:p>
    <w:p w:rsidR="00A86882" w:rsidRPr="007103F0" w:rsidRDefault="00A86882" w:rsidP="007103F0">
      <w:pPr>
        <w:widowControl/>
        <w:autoSpaceDE/>
        <w:ind w:firstLine="708"/>
        <w:jc w:val="both"/>
        <w:rPr>
          <w:rFonts w:asciiTheme="majorBidi" w:hAnsiTheme="majorBidi" w:cstheme="majorBidi"/>
          <w:lang w:eastAsia="en-US" w:bidi="ar-SA"/>
        </w:rPr>
      </w:pPr>
    </w:p>
    <w:p w:rsidR="00A86882" w:rsidRPr="00A86882" w:rsidRDefault="00A86882" w:rsidP="00A86882">
      <w:pPr>
        <w:shd w:val="clear" w:color="auto" w:fill="FFFFFF"/>
        <w:wordWrap w:val="0"/>
        <w:textAlignment w:val="baseline"/>
        <w:rPr>
          <w:rFonts w:asciiTheme="majorBidi" w:eastAsia="Times New Roman" w:hAnsiTheme="majorBidi" w:cstheme="majorBidi"/>
          <w:color w:val="242424"/>
          <w:sz w:val="24"/>
          <w:szCs w:val="24"/>
          <w:bdr w:val="none" w:sz="0" w:space="0" w:color="auto" w:frame="1"/>
          <w:lang w:eastAsia="es-ES" w:bidi="ar-SA"/>
        </w:rPr>
      </w:pPr>
      <w:r w:rsidRPr="00A86882">
        <w:rPr>
          <w:rFonts w:asciiTheme="majorBidi" w:eastAsia="Times New Roman" w:hAnsiTheme="majorBidi" w:cstheme="majorBidi"/>
          <w:sz w:val="24"/>
          <w:szCs w:val="24"/>
          <w:lang w:eastAsia="es-ES" w:bidi="ar-SA"/>
        </w:rPr>
        <w:t xml:space="preserve">Association AMAC : Email : </w:t>
      </w:r>
      <w:hyperlink r:id="rId7" w:history="1">
        <w:r w:rsidRPr="00A86882">
          <w:rPr>
            <w:rStyle w:val="Lienhypertexte"/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eastAsia="es-ES" w:bidi="ar-SA"/>
          </w:rPr>
          <w:t>amac.tetouan@gmail.com</w:t>
        </w:r>
      </w:hyperlink>
      <w:r w:rsidRPr="00A86882">
        <w:rPr>
          <w:rFonts w:asciiTheme="majorBidi" w:eastAsia="Times New Roman" w:hAnsiTheme="majorBidi" w:cstheme="majorBidi"/>
          <w:color w:val="242424"/>
          <w:sz w:val="24"/>
          <w:szCs w:val="24"/>
          <w:bdr w:val="none" w:sz="0" w:space="0" w:color="auto" w:frame="1"/>
          <w:lang w:eastAsia="es-ES" w:bidi="ar-SA"/>
        </w:rPr>
        <w:t xml:space="preserve">, O bien : </w:t>
      </w:r>
      <w:hyperlink r:id="rId8" w:history="1">
        <w:r w:rsidRPr="00A86882">
          <w:rPr>
            <w:rStyle w:val="Lienhypertexte"/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eastAsia="es-ES" w:bidi="ar-SA"/>
          </w:rPr>
          <w:t>tanger@gedi.org</w:t>
        </w:r>
      </w:hyperlink>
      <w:r w:rsidRPr="00A86882">
        <w:rPr>
          <w:rFonts w:asciiTheme="majorBidi" w:eastAsia="Times New Roman" w:hAnsiTheme="majorBidi" w:cstheme="majorBidi"/>
          <w:color w:val="242424"/>
          <w:sz w:val="24"/>
          <w:szCs w:val="24"/>
          <w:bdr w:val="none" w:sz="0" w:space="0" w:color="auto" w:frame="1"/>
          <w:lang w:eastAsia="es-ES" w:bidi="ar-SA"/>
        </w:rPr>
        <w:t xml:space="preserve"> </w:t>
      </w:r>
    </w:p>
    <w:p w:rsidR="003D2793" w:rsidRPr="007103F0" w:rsidRDefault="003D2793" w:rsidP="003D2793">
      <w:pPr>
        <w:widowControl/>
        <w:autoSpaceDE/>
        <w:jc w:val="both"/>
        <w:rPr>
          <w:rFonts w:ascii="Arial" w:eastAsia="Times New Roman" w:hAnsi="Arial" w:cs="Arial"/>
          <w:lang w:eastAsia="es-ES" w:bidi="ar-SA"/>
        </w:rPr>
      </w:pPr>
    </w:p>
    <w:sectPr w:rsidR="003D2793" w:rsidRPr="0071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6A"/>
    <w:multiLevelType w:val="hybridMultilevel"/>
    <w:tmpl w:val="99A6E99E"/>
    <w:lvl w:ilvl="0" w:tplc="92F8A3AC">
      <w:start w:val="60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1C"/>
    <w:rsid w:val="000B7436"/>
    <w:rsid w:val="001117E1"/>
    <w:rsid w:val="003D2793"/>
    <w:rsid w:val="00445121"/>
    <w:rsid w:val="005D131C"/>
    <w:rsid w:val="00692953"/>
    <w:rsid w:val="007103F0"/>
    <w:rsid w:val="00A86882"/>
    <w:rsid w:val="00B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D2793"/>
    <w:rPr>
      <w:rFonts w:ascii="Times New Roman" w:eastAsia="Times New Roman" w:hAnsi="Times New Roman" w:cs="Times New Roman"/>
      <w:lang w:eastAsia="en-US" w:bidi="ar-SA"/>
    </w:rPr>
  </w:style>
  <w:style w:type="character" w:customStyle="1" w:styleId="ozzzk">
    <w:name w:val="ozzzk"/>
    <w:basedOn w:val="Policepardfaut"/>
    <w:rsid w:val="00A86882"/>
  </w:style>
  <w:style w:type="character" w:styleId="Lienhypertexte">
    <w:name w:val="Hyperlink"/>
    <w:basedOn w:val="Policepardfaut"/>
    <w:uiPriority w:val="99"/>
    <w:unhideWhenUsed/>
    <w:rsid w:val="00A8688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5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D2793"/>
    <w:rPr>
      <w:rFonts w:ascii="Times New Roman" w:eastAsia="Times New Roman" w:hAnsi="Times New Roman" w:cs="Times New Roman"/>
      <w:lang w:eastAsia="en-US" w:bidi="ar-SA"/>
    </w:rPr>
  </w:style>
  <w:style w:type="character" w:customStyle="1" w:styleId="ozzzk">
    <w:name w:val="ozzzk"/>
    <w:basedOn w:val="Policepardfaut"/>
    <w:rsid w:val="00A86882"/>
  </w:style>
  <w:style w:type="character" w:styleId="Lienhypertexte">
    <w:name w:val="Hyperlink"/>
    <w:basedOn w:val="Policepardfaut"/>
    <w:uiPriority w:val="99"/>
    <w:unhideWhenUsed/>
    <w:rsid w:val="00A8688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5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ger@gedi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ac.tetou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2026-07-08T11:15:00Z</dcterms:created>
  <dcterms:modified xsi:type="dcterms:W3CDTF">2026-07-13T13:19:00Z</dcterms:modified>
</cp:coreProperties>
</file>