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FADDE" w14:textId="77777777" w:rsidR="007A7C0D" w:rsidRDefault="00000000">
      <w:pPr>
        <w:jc w:val="center"/>
        <w:rPr>
          <w:b/>
          <w:bCs/>
          <w:sz w:val="32"/>
          <w:szCs w:val="32"/>
          <w:lang w:val="fr-BE"/>
        </w:rPr>
      </w:pPr>
      <w:r>
        <w:rPr>
          <w:b/>
          <w:bCs/>
          <w:sz w:val="32"/>
          <w:szCs w:val="32"/>
          <w:lang w:val="fr-BE"/>
        </w:rPr>
        <w:t>Cahier des charges pour les travaux de réhabilitation du centre pour mineures de l’association OAG 2000 à Oujda</w:t>
      </w:r>
    </w:p>
    <w:p w14:paraId="683DE4FA" w14:textId="77777777" w:rsidR="007A7C0D" w:rsidRDefault="007A7C0D">
      <w:pPr>
        <w:rPr>
          <w:b/>
          <w:bCs/>
          <w:lang w:val="fr-BE"/>
        </w:rPr>
      </w:pPr>
    </w:p>
    <w:p w14:paraId="29864807" w14:textId="77777777" w:rsidR="007A7C0D" w:rsidRDefault="00000000">
      <w:pPr>
        <w:pStyle w:val="Paragraphedeliste"/>
        <w:numPr>
          <w:ilvl w:val="0"/>
          <w:numId w:val="1"/>
        </w:numPr>
      </w:pPr>
      <w:r>
        <w:rPr>
          <w:b/>
          <w:bCs/>
          <w:lang w:val="fr-BE"/>
        </w:rPr>
        <w:t>Informations générales relatives au marché</w:t>
      </w:r>
    </w:p>
    <w:tbl>
      <w:tblPr>
        <w:tblStyle w:val="Grilledutableau"/>
        <w:tblW w:w="0" w:type="auto"/>
        <w:tblLook w:val="04A0" w:firstRow="1" w:lastRow="0" w:firstColumn="1" w:lastColumn="0" w:noHBand="0" w:noVBand="1"/>
      </w:tblPr>
      <w:tblGrid>
        <w:gridCol w:w="3256"/>
        <w:gridCol w:w="5806"/>
      </w:tblGrid>
      <w:tr w:rsidR="00812024" w14:paraId="7C06A1A7" w14:textId="77777777" w:rsidTr="00812024">
        <w:tc>
          <w:tcPr>
            <w:tcW w:w="3256" w:type="dxa"/>
          </w:tcPr>
          <w:p w14:paraId="054E5FBE" w14:textId="40626622" w:rsidR="00812024" w:rsidRDefault="00812024">
            <w:pPr>
              <w:rPr>
                <w:b/>
                <w:bCs/>
                <w:lang w:val="fr-BE"/>
              </w:rPr>
            </w:pPr>
            <w:r>
              <w:rPr>
                <w:b/>
                <w:bCs/>
                <w:lang w:val="fr-BE"/>
              </w:rPr>
              <w:t>Maître d’ouvrage :</w:t>
            </w:r>
          </w:p>
        </w:tc>
        <w:tc>
          <w:tcPr>
            <w:tcW w:w="5806" w:type="dxa"/>
          </w:tcPr>
          <w:p w14:paraId="2ABBA71C" w14:textId="04BB25DC" w:rsidR="00812024" w:rsidRDefault="00812024">
            <w:pPr>
              <w:rPr>
                <w:b/>
                <w:bCs/>
                <w:lang w:val="fr-BE"/>
              </w:rPr>
            </w:pPr>
            <w:r>
              <w:rPr>
                <w:lang w:val="fr-BE"/>
              </w:rPr>
              <w:t>Association Oujda Ain Ghazal 2000</w:t>
            </w:r>
          </w:p>
        </w:tc>
      </w:tr>
      <w:tr w:rsidR="00812024" w14:paraId="50CFBCBE" w14:textId="77777777" w:rsidTr="00812024">
        <w:tc>
          <w:tcPr>
            <w:tcW w:w="3256" w:type="dxa"/>
          </w:tcPr>
          <w:p w14:paraId="2574849F" w14:textId="78EA55E3" w:rsidR="00812024" w:rsidRDefault="00812024">
            <w:pPr>
              <w:rPr>
                <w:b/>
                <w:bCs/>
                <w:lang w:val="fr-BE"/>
              </w:rPr>
            </w:pPr>
            <w:r>
              <w:rPr>
                <w:b/>
                <w:bCs/>
                <w:lang w:val="fr-BE"/>
              </w:rPr>
              <w:t>Objet :</w:t>
            </w:r>
          </w:p>
        </w:tc>
        <w:tc>
          <w:tcPr>
            <w:tcW w:w="5806" w:type="dxa"/>
          </w:tcPr>
          <w:p w14:paraId="02109278" w14:textId="176470AB" w:rsidR="00812024" w:rsidRDefault="00812024">
            <w:pPr>
              <w:rPr>
                <w:b/>
                <w:bCs/>
                <w:lang w:val="fr-BE"/>
              </w:rPr>
            </w:pPr>
            <w:r>
              <w:rPr>
                <w:lang w:val="fr-BE"/>
              </w:rPr>
              <w:t>Réalisation de travaux d</w:t>
            </w:r>
            <w:r w:rsidR="00E52EA5">
              <w:rPr>
                <w:lang w:val="fr-BE"/>
              </w:rPr>
              <w:t xml:space="preserve">e réhabilitation </w:t>
            </w:r>
            <w:r>
              <w:rPr>
                <w:lang w:val="fr-BE"/>
              </w:rPr>
              <w:t xml:space="preserve">du centre pour mineures </w:t>
            </w:r>
            <w:r w:rsidR="00E52EA5">
              <w:rPr>
                <w:lang w:val="fr-BE"/>
              </w:rPr>
              <w:t>association Oujda Ain Ghazal 2000 - Oujda</w:t>
            </w:r>
          </w:p>
        </w:tc>
      </w:tr>
      <w:tr w:rsidR="00812024" w14:paraId="39B5BB2F" w14:textId="77777777" w:rsidTr="00812024">
        <w:tc>
          <w:tcPr>
            <w:tcW w:w="3256" w:type="dxa"/>
          </w:tcPr>
          <w:p w14:paraId="4C8892E0" w14:textId="6011F5B1" w:rsidR="00812024" w:rsidRDefault="00812024">
            <w:pPr>
              <w:rPr>
                <w:b/>
                <w:bCs/>
                <w:lang w:val="fr-BE"/>
              </w:rPr>
            </w:pPr>
            <w:r>
              <w:rPr>
                <w:b/>
                <w:bCs/>
                <w:lang w:val="fr-BE"/>
              </w:rPr>
              <w:t>Montant total TTC :</w:t>
            </w:r>
          </w:p>
        </w:tc>
        <w:tc>
          <w:tcPr>
            <w:tcW w:w="5806" w:type="dxa"/>
          </w:tcPr>
          <w:p w14:paraId="2E7781A7" w14:textId="1C2F909A" w:rsidR="00812024" w:rsidRDefault="00812024">
            <w:pPr>
              <w:rPr>
                <w:b/>
                <w:bCs/>
                <w:lang w:val="fr-BE"/>
              </w:rPr>
            </w:pPr>
            <w:r w:rsidRPr="005E6D5D">
              <w:rPr>
                <w:lang w:val="fr-BE"/>
              </w:rPr>
              <w:t>150.000,00 MAD</w:t>
            </w:r>
          </w:p>
        </w:tc>
      </w:tr>
      <w:tr w:rsidR="00812024" w14:paraId="56AFC8DA" w14:textId="77777777" w:rsidTr="00812024">
        <w:tc>
          <w:tcPr>
            <w:tcW w:w="3256" w:type="dxa"/>
          </w:tcPr>
          <w:p w14:paraId="0BDAD9E9" w14:textId="6EE9228F" w:rsidR="00812024" w:rsidRDefault="00812024">
            <w:pPr>
              <w:rPr>
                <w:b/>
                <w:bCs/>
                <w:lang w:val="fr-BE"/>
              </w:rPr>
            </w:pPr>
            <w:r>
              <w:rPr>
                <w:b/>
                <w:bCs/>
                <w:lang w:val="fr-BE"/>
              </w:rPr>
              <w:t>Financement :</w:t>
            </w:r>
          </w:p>
        </w:tc>
        <w:tc>
          <w:tcPr>
            <w:tcW w:w="5806" w:type="dxa"/>
          </w:tcPr>
          <w:p w14:paraId="65E67F55" w14:textId="23150648" w:rsidR="00812024" w:rsidRDefault="00812024">
            <w:pPr>
              <w:rPr>
                <w:b/>
                <w:bCs/>
                <w:lang w:val="fr-BE"/>
              </w:rPr>
            </w:pPr>
            <w:r>
              <w:rPr>
                <w:lang w:val="fr-BE"/>
              </w:rPr>
              <w:t>Union Européenne</w:t>
            </w:r>
          </w:p>
        </w:tc>
      </w:tr>
      <w:tr w:rsidR="00812024" w14:paraId="1D92E528" w14:textId="77777777" w:rsidTr="00812024">
        <w:tc>
          <w:tcPr>
            <w:tcW w:w="3256" w:type="dxa"/>
          </w:tcPr>
          <w:p w14:paraId="30B93F65" w14:textId="7C55A413" w:rsidR="00812024" w:rsidRDefault="00812024">
            <w:pPr>
              <w:rPr>
                <w:b/>
                <w:bCs/>
                <w:lang w:val="fr-BE"/>
              </w:rPr>
            </w:pPr>
            <w:r>
              <w:rPr>
                <w:b/>
                <w:bCs/>
                <w:lang w:val="fr-BE"/>
              </w:rPr>
              <w:t>Durée estimée des travaux :</w:t>
            </w:r>
            <w:r>
              <w:rPr>
                <w:lang w:val="fr-BE"/>
              </w:rPr>
              <w:t xml:space="preserve">  </w:t>
            </w:r>
          </w:p>
        </w:tc>
        <w:tc>
          <w:tcPr>
            <w:tcW w:w="5806" w:type="dxa"/>
          </w:tcPr>
          <w:p w14:paraId="4DC1C442" w14:textId="1BCD543B" w:rsidR="00812024" w:rsidRDefault="00812024">
            <w:pPr>
              <w:rPr>
                <w:b/>
                <w:bCs/>
                <w:lang w:val="fr-BE"/>
              </w:rPr>
            </w:pPr>
            <w:r>
              <w:rPr>
                <w:lang w:val="fr-BE"/>
              </w:rPr>
              <w:t>Deux mois et demi</w:t>
            </w:r>
          </w:p>
        </w:tc>
      </w:tr>
      <w:tr w:rsidR="00812024" w14:paraId="24D94A6B" w14:textId="77777777" w:rsidTr="00812024">
        <w:tc>
          <w:tcPr>
            <w:tcW w:w="3256" w:type="dxa"/>
          </w:tcPr>
          <w:p w14:paraId="276DE675" w14:textId="4AF69968" w:rsidR="00812024" w:rsidRDefault="00812024">
            <w:pPr>
              <w:rPr>
                <w:b/>
                <w:bCs/>
                <w:lang w:val="fr-BE"/>
              </w:rPr>
            </w:pPr>
            <w:r>
              <w:rPr>
                <w:b/>
                <w:bCs/>
                <w:lang w:val="fr-BE"/>
              </w:rPr>
              <w:t>Date de démarrage souhaitée :</w:t>
            </w:r>
          </w:p>
        </w:tc>
        <w:tc>
          <w:tcPr>
            <w:tcW w:w="5806" w:type="dxa"/>
          </w:tcPr>
          <w:p w14:paraId="3E2ECF73" w14:textId="19F90A51" w:rsidR="00812024" w:rsidRDefault="00812024">
            <w:pPr>
              <w:rPr>
                <w:b/>
                <w:bCs/>
                <w:lang w:val="fr-BE"/>
              </w:rPr>
            </w:pPr>
            <w:r>
              <w:rPr>
                <w:lang w:val="fr-BE"/>
              </w:rPr>
              <w:t>1</w:t>
            </w:r>
            <w:r>
              <w:rPr>
                <w:vertAlign w:val="superscript"/>
                <w:lang w:val="fr-BE"/>
              </w:rPr>
              <w:t>er</w:t>
            </w:r>
            <w:r>
              <w:rPr>
                <w:lang w:val="fr-BE"/>
              </w:rPr>
              <w:t xml:space="preserve"> Juin 2026</w:t>
            </w:r>
          </w:p>
        </w:tc>
      </w:tr>
    </w:tbl>
    <w:p w14:paraId="7113886E" w14:textId="77777777" w:rsidR="00812024" w:rsidRDefault="00812024">
      <w:pPr>
        <w:spacing w:after="0"/>
        <w:rPr>
          <w:b/>
          <w:bCs/>
          <w:lang w:val="fr-BE"/>
        </w:rPr>
      </w:pPr>
    </w:p>
    <w:p w14:paraId="79C551D5" w14:textId="77777777" w:rsidR="007A7C0D" w:rsidRDefault="00000000">
      <w:pPr>
        <w:pStyle w:val="Paragraphedeliste"/>
        <w:numPr>
          <w:ilvl w:val="0"/>
          <w:numId w:val="1"/>
        </w:numPr>
        <w:rPr>
          <w:b/>
          <w:bCs/>
          <w:lang w:val="fr-BE"/>
        </w:rPr>
      </w:pPr>
      <w:r>
        <w:rPr>
          <w:b/>
          <w:bCs/>
          <w:lang w:val="fr-BE"/>
        </w:rPr>
        <w:t>Pouvoir adjudicateur</w:t>
      </w:r>
    </w:p>
    <w:p w14:paraId="21E15D4E" w14:textId="017243F1" w:rsidR="007A7C0D" w:rsidRDefault="00000000">
      <w:pPr>
        <w:spacing w:after="0"/>
        <w:outlineLvl w:val="0"/>
      </w:pPr>
      <w:r>
        <w:rPr>
          <w:rStyle w:val="lev"/>
        </w:rPr>
        <w:t xml:space="preserve">Nom officiel : </w:t>
      </w:r>
      <w:r>
        <w:rPr>
          <w:lang w:val="fr-BE"/>
        </w:rPr>
        <w:t>Oujda Ain Ghazal 2000</w:t>
      </w:r>
    </w:p>
    <w:p w14:paraId="5DC535CD" w14:textId="41EB7848" w:rsidR="007A7C0D" w:rsidRDefault="00000000">
      <w:pPr>
        <w:spacing w:after="0"/>
        <w:outlineLvl w:val="0"/>
      </w:pPr>
      <w:r>
        <w:rPr>
          <w:rStyle w:val="lev"/>
        </w:rPr>
        <w:t xml:space="preserve">Forme juridique :  </w:t>
      </w:r>
      <w:r>
        <w:rPr>
          <w:rStyle w:val="lev"/>
          <w:b w:val="0"/>
          <w:bCs/>
        </w:rPr>
        <w:t>Association de droit marocain</w:t>
      </w:r>
    </w:p>
    <w:p w14:paraId="71ADE9B6" w14:textId="5BCCB743" w:rsidR="007A7C0D" w:rsidRPr="005E6D5D" w:rsidRDefault="00000000">
      <w:pPr>
        <w:spacing w:after="0"/>
        <w:outlineLvl w:val="0"/>
        <w:rPr>
          <w:lang w:val="fr-BE"/>
        </w:rPr>
      </w:pPr>
      <w:r>
        <w:rPr>
          <w:rStyle w:val="lev"/>
        </w:rPr>
        <w:t xml:space="preserve">Activité du pouvoir adjudicateur : </w:t>
      </w:r>
      <w:r w:rsidR="007255E7">
        <w:rPr>
          <w:lang w:val="fr-BE"/>
        </w:rPr>
        <w:t>D</w:t>
      </w:r>
      <w:r w:rsidRPr="005E6D5D">
        <w:rPr>
          <w:lang w:val="fr-BE"/>
        </w:rPr>
        <w:t xml:space="preserve">éfense des droits humains/ </w:t>
      </w:r>
      <w:r w:rsidR="007255E7">
        <w:rPr>
          <w:lang w:val="fr-BE"/>
        </w:rPr>
        <w:t>L</w:t>
      </w:r>
      <w:r w:rsidRPr="005E6D5D">
        <w:rPr>
          <w:lang w:val="fr-BE"/>
        </w:rPr>
        <w:t xml:space="preserve">utte contre les violences faites aux femmes/ </w:t>
      </w:r>
      <w:r w:rsidR="007255E7">
        <w:rPr>
          <w:lang w:val="fr-BE"/>
        </w:rPr>
        <w:t>A</w:t>
      </w:r>
      <w:r w:rsidRPr="005E6D5D">
        <w:rPr>
          <w:lang w:val="fr-BE"/>
        </w:rPr>
        <w:t xml:space="preserve">ccueil, </w:t>
      </w:r>
      <w:r w:rsidR="007255E7">
        <w:rPr>
          <w:lang w:val="fr-BE"/>
        </w:rPr>
        <w:t>H</w:t>
      </w:r>
      <w:r w:rsidRPr="005E6D5D">
        <w:rPr>
          <w:lang w:val="fr-BE"/>
        </w:rPr>
        <w:t xml:space="preserve">ébergement, </w:t>
      </w:r>
      <w:r w:rsidR="007255E7">
        <w:rPr>
          <w:lang w:val="fr-BE"/>
        </w:rPr>
        <w:t>A</w:t>
      </w:r>
      <w:r w:rsidRPr="005E6D5D">
        <w:rPr>
          <w:lang w:val="fr-BE"/>
        </w:rPr>
        <w:t xml:space="preserve">ccompagnement et </w:t>
      </w:r>
      <w:r w:rsidR="007255E7">
        <w:rPr>
          <w:lang w:val="fr-BE"/>
        </w:rPr>
        <w:t>O</w:t>
      </w:r>
      <w:r w:rsidRPr="005E6D5D">
        <w:rPr>
          <w:lang w:val="fr-BE"/>
        </w:rPr>
        <w:t>rientations</w:t>
      </w:r>
    </w:p>
    <w:p w14:paraId="37EBEF11" w14:textId="4A23BFCA" w:rsidR="007A7C0D" w:rsidRPr="005E6D5D" w:rsidRDefault="00000000">
      <w:pPr>
        <w:spacing w:after="0"/>
        <w:outlineLvl w:val="0"/>
        <w:rPr>
          <w:lang w:val="fr-BE"/>
        </w:rPr>
      </w:pPr>
      <w:r w:rsidRPr="005E6D5D">
        <w:rPr>
          <w:b/>
          <w:lang w:val="fr-BE"/>
        </w:rPr>
        <w:t>Adresse :</w:t>
      </w:r>
      <w:r w:rsidR="005E6D5D">
        <w:rPr>
          <w:b/>
          <w:lang w:val="fr-BE"/>
        </w:rPr>
        <w:t xml:space="preserve">  </w:t>
      </w:r>
      <w:r w:rsidRPr="005E6D5D">
        <w:rPr>
          <w:bCs/>
          <w:lang w:val="fr-BE"/>
        </w:rPr>
        <w:t>Centre social de la Femme,</w:t>
      </w:r>
      <w:r w:rsidRPr="005E6D5D">
        <w:rPr>
          <w:b/>
          <w:lang w:val="fr-BE"/>
        </w:rPr>
        <w:t xml:space="preserve"> </w:t>
      </w:r>
      <w:r w:rsidRPr="005E6D5D">
        <w:rPr>
          <w:lang w:val="fr-BE"/>
        </w:rPr>
        <w:t>BD ALLAL AL FASSI, DHAR LAMHALLA-LAZARET</w:t>
      </w:r>
      <w:r w:rsidR="007255E7">
        <w:rPr>
          <w:lang w:val="fr-BE"/>
        </w:rPr>
        <w:t xml:space="preserve"> /</w:t>
      </w:r>
      <w:r w:rsidR="005E6D5D">
        <w:rPr>
          <w:lang w:val="fr-BE"/>
        </w:rPr>
        <w:t>Oujda</w:t>
      </w:r>
      <w:r w:rsidR="007255E7">
        <w:rPr>
          <w:lang w:val="fr-BE"/>
        </w:rPr>
        <w:t>-</w:t>
      </w:r>
      <w:r w:rsidR="005E6D5D">
        <w:rPr>
          <w:lang w:val="fr-BE"/>
        </w:rPr>
        <w:t>Maroc</w:t>
      </w:r>
    </w:p>
    <w:p w14:paraId="713F3411" w14:textId="77777777" w:rsidR="007A7C0D" w:rsidRDefault="00000000">
      <w:pPr>
        <w:spacing w:after="0"/>
        <w:outlineLvl w:val="0"/>
      </w:pPr>
      <w:r>
        <w:rPr>
          <w:rStyle w:val="lev"/>
        </w:rPr>
        <w:t xml:space="preserve">Personne de contact : </w:t>
      </w:r>
    </w:p>
    <w:p w14:paraId="20BD68AA" w14:textId="71FA38E8" w:rsidR="007A7C0D" w:rsidRPr="007255E7" w:rsidRDefault="00000000">
      <w:pPr>
        <w:spacing w:after="0"/>
        <w:outlineLvl w:val="0"/>
        <w:rPr>
          <w:b/>
        </w:rPr>
      </w:pPr>
      <w:r>
        <w:rPr>
          <w:rStyle w:val="lev"/>
        </w:rPr>
        <w:t xml:space="preserve">Présidente : </w:t>
      </w:r>
      <w:r w:rsidRPr="007255E7">
        <w:rPr>
          <w:rStyle w:val="lev"/>
          <w:b w:val="0"/>
        </w:rPr>
        <w:t>Mme Zahra ZAOUI</w:t>
      </w:r>
      <w:r>
        <w:rPr>
          <w:rStyle w:val="lev"/>
        </w:rPr>
        <w:t xml:space="preserve"> / </w:t>
      </w:r>
      <w:hyperlink r:id="rId7" w:history="1">
        <w:r>
          <w:rPr>
            <w:rStyle w:val="Lienhypertexte"/>
            <w:b/>
            <w:bCs/>
          </w:rPr>
          <w:t>z_zaoui2000@yahoo.fr</w:t>
        </w:r>
      </w:hyperlink>
      <w:r>
        <w:rPr>
          <w:rStyle w:val="lev"/>
        </w:rPr>
        <w:t xml:space="preserve"> / </w:t>
      </w:r>
      <w:r w:rsidRPr="007255E7">
        <w:rPr>
          <w:rStyle w:val="lev"/>
          <w:b w:val="0"/>
        </w:rPr>
        <w:t>+212 661-102232</w:t>
      </w:r>
    </w:p>
    <w:p w14:paraId="1D64F83C" w14:textId="77777777" w:rsidR="007A7C0D" w:rsidRDefault="00000000">
      <w:pPr>
        <w:spacing w:after="0"/>
        <w:outlineLvl w:val="0"/>
      </w:pPr>
      <w:r>
        <w:rPr>
          <w:b/>
          <w:bCs/>
        </w:rPr>
        <w:t xml:space="preserve">Coordonnateur : </w:t>
      </w:r>
      <w:r w:rsidRPr="007255E7">
        <w:t>M Soufian FAGROUD</w:t>
      </w:r>
      <w:r>
        <w:rPr>
          <w:b/>
          <w:bCs/>
        </w:rPr>
        <w:t xml:space="preserve"> </w:t>
      </w:r>
      <w:hyperlink r:id="rId8" w:history="1">
        <w:r>
          <w:rPr>
            <w:rStyle w:val="Lienhypertexte"/>
            <w:b/>
            <w:bCs/>
          </w:rPr>
          <w:t>/coordination.prog.oag2000@gmail.com/</w:t>
        </w:r>
      </w:hyperlink>
      <w:r>
        <w:rPr>
          <w:b/>
          <w:bCs/>
        </w:rPr>
        <w:t xml:space="preserve"> +212 650-050850</w:t>
      </w:r>
    </w:p>
    <w:p w14:paraId="4593CB4C" w14:textId="77777777" w:rsidR="007A7C0D" w:rsidRDefault="00000000">
      <w:pPr>
        <w:spacing w:after="0"/>
        <w:outlineLvl w:val="0"/>
      </w:pPr>
      <w:r>
        <w:rPr>
          <w:b/>
          <w:bCs/>
        </w:rPr>
        <w:t xml:space="preserve">Resp. Financier : </w:t>
      </w:r>
      <w:r w:rsidRPr="007255E7">
        <w:t>M Hamid SALHI</w:t>
      </w:r>
      <w:r>
        <w:rPr>
          <w:b/>
          <w:bCs/>
        </w:rPr>
        <w:t xml:space="preserve"> / </w:t>
      </w:r>
      <w:hyperlink r:id="rId9" w:history="1">
        <w:r>
          <w:rPr>
            <w:rStyle w:val="Lienhypertexte"/>
            <w:b/>
            <w:bCs/>
          </w:rPr>
          <w:t>finance.tamallouk@gmail.com</w:t>
        </w:r>
      </w:hyperlink>
      <w:r>
        <w:rPr>
          <w:b/>
          <w:bCs/>
        </w:rPr>
        <w:t xml:space="preserve"> / </w:t>
      </w:r>
      <w:r w:rsidRPr="007255E7">
        <w:t>+212 650-050650</w:t>
      </w:r>
      <w:r>
        <w:rPr>
          <w:b/>
          <w:bCs/>
        </w:rPr>
        <w:t xml:space="preserve"> </w:t>
      </w:r>
    </w:p>
    <w:p w14:paraId="51EAF09C" w14:textId="77777777" w:rsidR="007A7C0D" w:rsidRPr="007255E7" w:rsidRDefault="00000000">
      <w:pPr>
        <w:spacing w:after="0"/>
        <w:outlineLvl w:val="0"/>
      </w:pPr>
      <w:r>
        <w:rPr>
          <w:b/>
          <w:bCs/>
        </w:rPr>
        <w:t xml:space="preserve">Resp. Admin : </w:t>
      </w:r>
      <w:r w:rsidRPr="007255E7">
        <w:t>Mme Soumia SEKKAT</w:t>
      </w:r>
      <w:r>
        <w:rPr>
          <w:b/>
          <w:bCs/>
        </w:rPr>
        <w:t xml:space="preserve"> / </w:t>
      </w:r>
      <w:hyperlink r:id="rId10" w:history="1">
        <w:r>
          <w:rPr>
            <w:rStyle w:val="Lienhypertexte"/>
            <w:b/>
            <w:bCs/>
          </w:rPr>
          <w:t>mainghazal2000@yahoo.fr</w:t>
        </w:r>
      </w:hyperlink>
      <w:r>
        <w:rPr>
          <w:b/>
          <w:bCs/>
        </w:rPr>
        <w:t xml:space="preserve"> / </w:t>
      </w:r>
      <w:r w:rsidRPr="007255E7">
        <w:t>+212 650-050820</w:t>
      </w:r>
    </w:p>
    <w:p w14:paraId="3D1D6DE2" w14:textId="77777777" w:rsidR="007A7C0D" w:rsidRDefault="007A7C0D">
      <w:pPr>
        <w:rPr>
          <w:b/>
          <w:bCs/>
        </w:rPr>
      </w:pPr>
    </w:p>
    <w:p w14:paraId="2D0D4F72" w14:textId="77777777" w:rsidR="007A7C0D" w:rsidRDefault="00000000">
      <w:pPr>
        <w:pStyle w:val="Paragraphedeliste"/>
        <w:numPr>
          <w:ilvl w:val="0"/>
          <w:numId w:val="1"/>
        </w:numPr>
        <w:rPr>
          <w:b/>
          <w:bCs/>
          <w:lang w:val="fr-BE"/>
        </w:rPr>
      </w:pPr>
      <w:r>
        <w:rPr>
          <w:b/>
          <w:bCs/>
          <w:lang w:val="fr-BE"/>
        </w:rPr>
        <w:t>Marché</w:t>
      </w:r>
    </w:p>
    <w:p w14:paraId="72AD81CE" w14:textId="77777777" w:rsidR="007A7C0D" w:rsidRDefault="00000000">
      <w:pPr>
        <w:jc w:val="both"/>
      </w:pPr>
      <w:r>
        <w:rPr>
          <w:rStyle w:val="lev"/>
          <w:iCs/>
        </w:rPr>
        <w:t>Nature du marché :</w:t>
      </w:r>
      <w:r>
        <w:rPr>
          <w:rStyle w:val="lev"/>
          <w:b w:val="0"/>
          <w:bCs/>
          <w:iCs/>
        </w:rPr>
        <w:t xml:space="preserve"> travaux de réhabilitation d’un centre d’hébergement pour filles mineures </w:t>
      </w:r>
    </w:p>
    <w:p w14:paraId="0559C14A" w14:textId="77777777" w:rsidR="007A7C0D" w:rsidRDefault="00000000">
      <w:pPr>
        <w:spacing w:after="0"/>
        <w:jc w:val="both"/>
      </w:pPr>
      <w:r>
        <w:rPr>
          <w:rStyle w:val="lev"/>
          <w:iCs/>
        </w:rPr>
        <w:t>Description succincte du marché :</w:t>
      </w:r>
      <w:r>
        <w:rPr>
          <w:rStyle w:val="lev"/>
          <w:i/>
        </w:rPr>
        <w:t xml:space="preserve"> </w:t>
      </w:r>
    </w:p>
    <w:p w14:paraId="5F58D453" w14:textId="77777777" w:rsidR="007A7C0D" w:rsidRDefault="00000000">
      <w:pPr>
        <w:pStyle w:val="Paragraphedeliste"/>
        <w:numPr>
          <w:ilvl w:val="0"/>
          <w:numId w:val="2"/>
        </w:numPr>
        <w:spacing w:after="0"/>
        <w:rPr>
          <w:bCs/>
          <w:lang w:val="fr-BE"/>
        </w:rPr>
      </w:pPr>
      <w:r>
        <w:rPr>
          <w:bCs/>
          <w:lang w:val="fr-BE"/>
        </w:rPr>
        <w:t>Travaux préliminaires</w:t>
      </w:r>
    </w:p>
    <w:p w14:paraId="6DD666F1" w14:textId="77777777" w:rsidR="007A7C0D" w:rsidRDefault="00000000">
      <w:pPr>
        <w:spacing w:after="0"/>
        <w:rPr>
          <w:bCs/>
          <w:lang w:val="fr-BE"/>
        </w:rPr>
      </w:pPr>
      <w:r>
        <w:rPr>
          <w:bCs/>
          <w:lang w:val="fr-BE"/>
        </w:rPr>
        <w:t>Installation de chantier et repliement : Préparer le site pour le début des travaux (clôture, sécurité, signalisation, base vie) – Prévoir un montant forfaitaire.</w:t>
      </w:r>
    </w:p>
    <w:p w14:paraId="55380FE1" w14:textId="77777777" w:rsidR="007A7C0D" w:rsidRDefault="00000000">
      <w:pPr>
        <w:pStyle w:val="Paragraphedeliste"/>
        <w:numPr>
          <w:ilvl w:val="0"/>
          <w:numId w:val="2"/>
        </w:numPr>
        <w:spacing w:before="240" w:after="0"/>
        <w:rPr>
          <w:bCs/>
          <w:lang w:val="fr-BE"/>
        </w:rPr>
      </w:pPr>
      <w:r>
        <w:rPr>
          <w:bCs/>
          <w:lang w:val="fr-BE"/>
        </w:rPr>
        <w:t>Réhabilitation et maintenance</w:t>
      </w:r>
    </w:p>
    <w:p w14:paraId="62C60CF8" w14:textId="77777777" w:rsidR="007A7C0D" w:rsidRDefault="00000000">
      <w:pPr>
        <w:spacing w:after="0"/>
        <w:jc w:val="both"/>
        <w:rPr>
          <w:bCs/>
          <w:lang w:val="fr-BE"/>
        </w:rPr>
      </w:pPr>
      <w:r>
        <w:rPr>
          <w:bCs/>
          <w:lang w:val="fr-BE"/>
        </w:rPr>
        <w:t>Traitement des fissures murales : Rebouchage, traitement des fissures visibles – Prévoir un montant forfaitaire.</w:t>
      </w:r>
    </w:p>
    <w:p w14:paraId="62EC64F3" w14:textId="77777777" w:rsidR="007A7C0D" w:rsidRDefault="00000000">
      <w:pPr>
        <w:spacing w:after="0"/>
        <w:jc w:val="both"/>
        <w:rPr>
          <w:bCs/>
          <w:lang w:val="fr-BE"/>
        </w:rPr>
      </w:pPr>
      <w:r>
        <w:rPr>
          <w:bCs/>
          <w:lang w:val="fr-BE"/>
        </w:rPr>
        <w:t>Débouchage des regards d’assainissement : Nettoyage et mise en conformité – Prévoir un montant forfaitaire.</w:t>
      </w:r>
    </w:p>
    <w:p w14:paraId="21E9BCD5" w14:textId="77777777" w:rsidR="007A7C0D" w:rsidRDefault="00000000">
      <w:pPr>
        <w:pStyle w:val="Paragraphedeliste"/>
        <w:numPr>
          <w:ilvl w:val="0"/>
          <w:numId w:val="2"/>
        </w:numPr>
        <w:spacing w:before="240" w:after="0"/>
        <w:rPr>
          <w:bCs/>
          <w:lang w:val="fr-BE"/>
        </w:rPr>
      </w:pPr>
      <w:r>
        <w:rPr>
          <w:bCs/>
          <w:lang w:val="fr-BE"/>
        </w:rPr>
        <w:t>Plomberie et sanitaires</w:t>
      </w:r>
    </w:p>
    <w:p w14:paraId="1EFE0934" w14:textId="77777777" w:rsidR="007A7C0D" w:rsidRDefault="00000000">
      <w:pPr>
        <w:spacing w:after="0"/>
        <w:jc w:val="both"/>
        <w:rPr>
          <w:bCs/>
          <w:lang w:val="fr-BE"/>
        </w:rPr>
      </w:pPr>
      <w:r>
        <w:rPr>
          <w:bCs/>
          <w:lang w:val="fr-BE"/>
        </w:rPr>
        <w:t>Travaux de plomberie : Révision complète, remplacement et ajout de conduites, robinetterie et accessoires – Prévoir un montant forfaitaire.</w:t>
      </w:r>
    </w:p>
    <w:p w14:paraId="12B3D0DB" w14:textId="77777777" w:rsidR="007A7C0D" w:rsidRDefault="00000000">
      <w:pPr>
        <w:spacing w:after="0"/>
        <w:rPr>
          <w:bCs/>
          <w:lang w:val="fr-BE"/>
        </w:rPr>
      </w:pPr>
      <w:r>
        <w:rPr>
          <w:bCs/>
          <w:lang w:val="fr-BE"/>
        </w:rPr>
        <w:t>Fourniture et pose de sanitaires :</w:t>
      </w:r>
    </w:p>
    <w:p w14:paraId="1760278B" w14:textId="77777777" w:rsidR="007A7C0D" w:rsidRDefault="00000000">
      <w:pPr>
        <w:numPr>
          <w:ilvl w:val="1"/>
          <w:numId w:val="3"/>
        </w:numPr>
        <w:tabs>
          <w:tab w:val="left" w:pos="-7560"/>
          <w:tab w:val="left" w:pos="-7200"/>
        </w:tabs>
        <w:spacing w:after="0"/>
        <w:rPr>
          <w:bCs/>
          <w:lang w:val="fr-BE"/>
        </w:rPr>
      </w:pPr>
      <w:r>
        <w:rPr>
          <w:bCs/>
          <w:lang w:val="fr-BE"/>
        </w:rPr>
        <w:t>2 WC à l’anglaise</w:t>
      </w:r>
    </w:p>
    <w:p w14:paraId="5ED9CBFF" w14:textId="77777777" w:rsidR="007A7C0D" w:rsidRDefault="00000000">
      <w:pPr>
        <w:numPr>
          <w:ilvl w:val="1"/>
          <w:numId w:val="3"/>
        </w:numPr>
        <w:tabs>
          <w:tab w:val="left" w:pos="-7560"/>
          <w:tab w:val="left" w:pos="-7200"/>
        </w:tabs>
        <w:spacing w:after="0"/>
        <w:rPr>
          <w:bCs/>
          <w:lang w:val="fr-BE"/>
        </w:rPr>
      </w:pPr>
      <w:r>
        <w:rPr>
          <w:bCs/>
          <w:lang w:val="fr-BE"/>
        </w:rPr>
        <w:t>2 WC turcs</w:t>
      </w:r>
    </w:p>
    <w:p w14:paraId="2AF71187" w14:textId="77777777" w:rsidR="007255E7" w:rsidRDefault="007255E7" w:rsidP="007255E7">
      <w:pPr>
        <w:tabs>
          <w:tab w:val="left" w:pos="-7560"/>
          <w:tab w:val="left" w:pos="-7200"/>
        </w:tabs>
        <w:spacing w:after="0"/>
        <w:ind w:left="1080"/>
        <w:rPr>
          <w:bCs/>
          <w:lang w:val="fr-BE"/>
        </w:rPr>
      </w:pPr>
    </w:p>
    <w:p w14:paraId="2CA6C6F9" w14:textId="77777777" w:rsidR="007255E7" w:rsidRDefault="007255E7" w:rsidP="007255E7">
      <w:pPr>
        <w:tabs>
          <w:tab w:val="left" w:pos="-7560"/>
          <w:tab w:val="left" w:pos="-7200"/>
        </w:tabs>
        <w:spacing w:after="0"/>
        <w:ind w:left="1080"/>
        <w:rPr>
          <w:bCs/>
          <w:lang w:val="fr-BE"/>
        </w:rPr>
      </w:pPr>
    </w:p>
    <w:p w14:paraId="6473E0EF" w14:textId="77777777" w:rsidR="007A7C0D" w:rsidRDefault="00000000">
      <w:pPr>
        <w:pStyle w:val="Paragraphedeliste"/>
        <w:numPr>
          <w:ilvl w:val="0"/>
          <w:numId w:val="2"/>
        </w:numPr>
        <w:spacing w:before="240" w:after="0"/>
        <w:rPr>
          <w:bCs/>
          <w:lang w:val="fr-BE"/>
        </w:rPr>
      </w:pPr>
      <w:r>
        <w:rPr>
          <w:bCs/>
          <w:lang w:val="fr-BE"/>
        </w:rPr>
        <w:lastRenderedPageBreak/>
        <w:t>Électricité et sécurité</w:t>
      </w:r>
    </w:p>
    <w:p w14:paraId="4C890EDC" w14:textId="77777777" w:rsidR="007A7C0D" w:rsidRDefault="00000000">
      <w:pPr>
        <w:spacing w:after="0"/>
        <w:rPr>
          <w:bCs/>
          <w:lang w:val="fr-BE"/>
        </w:rPr>
      </w:pPr>
      <w:r>
        <w:rPr>
          <w:bCs/>
          <w:lang w:val="fr-BE"/>
        </w:rPr>
        <w:t>Adaptation de l’installation électrique : Révision générale, correction des défauts, mise aux normes – Prévoir un montant forfaitaire.</w:t>
      </w:r>
    </w:p>
    <w:p w14:paraId="410BE630" w14:textId="77777777" w:rsidR="007A7C0D" w:rsidRDefault="00000000">
      <w:pPr>
        <w:spacing w:after="0"/>
        <w:rPr>
          <w:bCs/>
          <w:lang w:val="fr-BE"/>
        </w:rPr>
      </w:pPr>
      <w:r>
        <w:rPr>
          <w:bCs/>
          <w:lang w:val="fr-BE"/>
        </w:rPr>
        <w:t>Éclairage extérieur/intérieur : Fourniture et installation de 4 projecteurs LED 100W.</w:t>
      </w:r>
    </w:p>
    <w:p w14:paraId="008A983B" w14:textId="77777777" w:rsidR="007A7C0D" w:rsidRDefault="00000000">
      <w:pPr>
        <w:spacing w:after="0"/>
      </w:pPr>
      <w:r>
        <w:rPr>
          <w:bCs/>
          <w:lang w:val="fr-BE"/>
        </w:rPr>
        <w:t>Sécurité : Fourniture et installation de 5 caméras de surveillance.</w:t>
      </w:r>
    </w:p>
    <w:p w14:paraId="5FFECC46" w14:textId="77777777" w:rsidR="007A7C0D" w:rsidRDefault="00000000">
      <w:pPr>
        <w:pStyle w:val="Paragraphedeliste"/>
        <w:numPr>
          <w:ilvl w:val="0"/>
          <w:numId w:val="2"/>
        </w:numPr>
        <w:spacing w:before="240" w:after="0"/>
        <w:rPr>
          <w:bCs/>
          <w:lang w:val="fr-BE"/>
        </w:rPr>
      </w:pPr>
      <w:r>
        <w:rPr>
          <w:bCs/>
          <w:lang w:val="fr-BE"/>
        </w:rPr>
        <w:t>Menuiserie</w:t>
      </w:r>
    </w:p>
    <w:p w14:paraId="4CEF8627" w14:textId="77777777" w:rsidR="007A7C0D" w:rsidRDefault="00000000">
      <w:pPr>
        <w:spacing w:after="0"/>
        <w:rPr>
          <w:bCs/>
          <w:lang w:val="fr-BE"/>
        </w:rPr>
      </w:pPr>
      <w:r>
        <w:rPr>
          <w:bCs/>
          <w:lang w:val="fr-BE"/>
        </w:rPr>
        <w:t>Porte en aluminium : Fourniture et pose de 3 m².</w:t>
      </w:r>
    </w:p>
    <w:p w14:paraId="1BFA5A9D" w14:textId="77777777" w:rsidR="007A7C0D" w:rsidRDefault="00000000">
      <w:pPr>
        <w:spacing w:after="0"/>
        <w:rPr>
          <w:bCs/>
          <w:lang w:val="fr-BE"/>
        </w:rPr>
      </w:pPr>
      <w:r>
        <w:rPr>
          <w:bCs/>
          <w:lang w:val="fr-BE"/>
        </w:rPr>
        <w:t>Fenêtres vitrées en aluminium : Double ouvrant ou basculant, 26,9 m².</w:t>
      </w:r>
    </w:p>
    <w:p w14:paraId="6E7307B5" w14:textId="77777777" w:rsidR="007A7C0D" w:rsidRDefault="00000000">
      <w:pPr>
        <w:spacing w:after="0"/>
        <w:rPr>
          <w:bCs/>
          <w:lang w:val="fr-BE"/>
        </w:rPr>
      </w:pPr>
      <w:r>
        <w:rPr>
          <w:bCs/>
          <w:lang w:val="fr-BE"/>
        </w:rPr>
        <w:t>Entretien des portes isoplanes existantes : Révision et remplacement des poignées – 12 unités.</w:t>
      </w:r>
    </w:p>
    <w:p w14:paraId="435FD39F" w14:textId="77777777" w:rsidR="005E6D5D" w:rsidRDefault="005E6D5D">
      <w:pPr>
        <w:spacing w:after="0"/>
        <w:rPr>
          <w:bCs/>
          <w:lang w:val="fr-BE"/>
        </w:rPr>
      </w:pPr>
    </w:p>
    <w:p w14:paraId="4DFBA051" w14:textId="4C5A684B" w:rsidR="007A7C0D" w:rsidRPr="005E6D5D" w:rsidRDefault="00000000">
      <w:pPr>
        <w:spacing w:after="0"/>
        <w:rPr>
          <w:bCs/>
          <w:u w:val="single"/>
          <w:lang w:val="fr-BE"/>
        </w:rPr>
      </w:pPr>
      <w:r w:rsidRPr="005E6D5D">
        <w:rPr>
          <w:bCs/>
          <w:u w:val="single"/>
          <w:lang w:val="fr-BE"/>
        </w:rPr>
        <w:t>Dispositifs de sécurité spécifiques :</w:t>
      </w:r>
    </w:p>
    <w:p w14:paraId="49421D1D" w14:textId="77777777" w:rsidR="007A7C0D" w:rsidRPr="005E6D5D" w:rsidRDefault="00000000">
      <w:pPr>
        <w:spacing w:after="0"/>
        <w:rPr>
          <w:bCs/>
          <w:lang w:val="fr-BE"/>
        </w:rPr>
      </w:pPr>
      <w:r w:rsidRPr="005E6D5D">
        <w:rPr>
          <w:bCs/>
          <w:lang w:val="fr-BE"/>
        </w:rPr>
        <w:t>Fourniture et installation de 2 portes en acier/fer renforcé</w:t>
      </w:r>
    </w:p>
    <w:p w14:paraId="0863CBA3" w14:textId="2D8217D4" w:rsidR="007A7C0D" w:rsidRPr="005E6D5D" w:rsidRDefault="00000000">
      <w:pPr>
        <w:spacing w:after="0"/>
        <w:rPr>
          <w:bCs/>
          <w:lang w:val="fr-BE"/>
        </w:rPr>
      </w:pPr>
      <w:r w:rsidRPr="005E6D5D">
        <w:rPr>
          <w:bCs/>
          <w:lang w:val="fr-BE"/>
        </w:rPr>
        <w:t xml:space="preserve">Fourniture et installation d’un grillage de protection en acier/fer </w:t>
      </w:r>
      <w:r w:rsidR="005E6D5D">
        <w:rPr>
          <w:bCs/>
          <w:lang w:val="fr-BE"/>
        </w:rPr>
        <w:t xml:space="preserve">renforcé </w:t>
      </w:r>
      <w:r w:rsidRPr="005E6D5D">
        <w:rPr>
          <w:bCs/>
          <w:lang w:val="fr-BE"/>
        </w:rPr>
        <w:t>au niveau de l’ouverture donnant sur la cour au rez-de-chaussée</w:t>
      </w:r>
    </w:p>
    <w:p w14:paraId="7787E77B" w14:textId="77777777" w:rsidR="007A7C0D" w:rsidRDefault="007A7C0D">
      <w:pPr>
        <w:spacing w:after="0"/>
        <w:rPr>
          <w:bCs/>
        </w:rPr>
      </w:pPr>
    </w:p>
    <w:p w14:paraId="33C84D86" w14:textId="77777777" w:rsidR="007A7C0D" w:rsidRDefault="00000000">
      <w:pPr>
        <w:pStyle w:val="Paragraphedeliste"/>
        <w:numPr>
          <w:ilvl w:val="0"/>
          <w:numId w:val="2"/>
        </w:numPr>
        <w:spacing w:before="240" w:after="0"/>
        <w:rPr>
          <w:bCs/>
          <w:lang w:val="fr-BE"/>
        </w:rPr>
      </w:pPr>
      <w:r>
        <w:rPr>
          <w:bCs/>
          <w:lang w:val="fr-BE"/>
        </w:rPr>
        <w:t>Cuisine</w:t>
      </w:r>
    </w:p>
    <w:p w14:paraId="2652E0A1" w14:textId="77777777" w:rsidR="007A7C0D" w:rsidRDefault="00000000">
      <w:pPr>
        <w:spacing w:after="0"/>
      </w:pPr>
      <w:r>
        <w:rPr>
          <w:bCs/>
          <w:lang w:val="fr-BE"/>
        </w:rPr>
        <w:t>Fourniture et installation d’une cuisinière encastrée dans le marbre – Ensemble.</w:t>
      </w:r>
    </w:p>
    <w:p w14:paraId="548036E3" w14:textId="77777777" w:rsidR="007A7C0D" w:rsidRDefault="00000000">
      <w:pPr>
        <w:pStyle w:val="Paragraphedeliste"/>
        <w:numPr>
          <w:ilvl w:val="0"/>
          <w:numId w:val="2"/>
        </w:numPr>
        <w:spacing w:before="240" w:after="0"/>
        <w:rPr>
          <w:bCs/>
          <w:lang w:val="fr-BE"/>
        </w:rPr>
      </w:pPr>
      <w:r>
        <w:rPr>
          <w:bCs/>
          <w:lang w:val="fr-BE"/>
        </w:rPr>
        <w:t>Peinture</w:t>
      </w:r>
    </w:p>
    <w:p w14:paraId="55C6775C" w14:textId="06D259D5" w:rsidR="007A7C0D" w:rsidRDefault="00000000">
      <w:pPr>
        <w:spacing w:after="0"/>
      </w:pPr>
      <w:r>
        <w:rPr>
          <w:bCs/>
          <w:lang w:val="fr-BE"/>
        </w:rPr>
        <w:t>Murale</w:t>
      </w:r>
      <w:r w:rsidR="00E30F33">
        <w:rPr>
          <w:bCs/>
          <w:lang w:val="fr-BE"/>
        </w:rPr>
        <w:t> </w:t>
      </w:r>
      <w:r>
        <w:rPr>
          <w:bCs/>
          <w:lang w:val="fr-BE"/>
        </w:rPr>
        <w:t xml:space="preserve">: Peinture vinylique </w:t>
      </w:r>
      <w:r w:rsidRPr="007255E7">
        <w:rPr>
          <w:bCs/>
          <w:lang w:val="fr-BE"/>
        </w:rPr>
        <w:t>sur 450 m².</w:t>
      </w:r>
      <w:r>
        <w:rPr>
          <w:bCs/>
          <w:color w:val="FF0000"/>
          <w:shd w:val="clear" w:color="auto" w:fill="FFFF00"/>
          <w:lang w:val="fr-BE"/>
        </w:rPr>
        <w:t xml:space="preserve"> </w:t>
      </w:r>
    </w:p>
    <w:p w14:paraId="39DDD68B" w14:textId="2544264C" w:rsidR="007A7C0D" w:rsidRDefault="00000000">
      <w:pPr>
        <w:spacing w:after="0"/>
        <w:rPr>
          <w:bCs/>
          <w:lang w:val="fr-BE"/>
        </w:rPr>
      </w:pPr>
      <w:r>
        <w:rPr>
          <w:bCs/>
          <w:lang w:val="fr-BE"/>
        </w:rPr>
        <w:t>Bois et métal</w:t>
      </w:r>
      <w:r w:rsidR="00E30F33">
        <w:rPr>
          <w:bCs/>
          <w:lang w:val="fr-BE"/>
        </w:rPr>
        <w:t> </w:t>
      </w:r>
      <w:r>
        <w:rPr>
          <w:bCs/>
          <w:lang w:val="fr-BE"/>
        </w:rPr>
        <w:t>: Peinture laquée sur 30 m².</w:t>
      </w:r>
    </w:p>
    <w:p w14:paraId="0E7C6F56" w14:textId="77777777" w:rsidR="007A7C0D" w:rsidRDefault="00000000">
      <w:pPr>
        <w:pStyle w:val="Paragraphedeliste"/>
        <w:numPr>
          <w:ilvl w:val="0"/>
          <w:numId w:val="2"/>
        </w:numPr>
        <w:spacing w:before="240" w:after="0"/>
        <w:jc w:val="both"/>
        <w:rPr>
          <w:bCs/>
          <w:lang w:val="fr-BE"/>
        </w:rPr>
      </w:pPr>
      <w:r>
        <w:rPr>
          <w:bCs/>
          <w:lang w:val="fr-BE"/>
        </w:rPr>
        <w:t>Étanchéité</w:t>
      </w:r>
    </w:p>
    <w:p w14:paraId="56C7EBBD" w14:textId="74821AE0" w:rsidR="007A7C0D" w:rsidRDefault="00000000">
      <w:pPr>
        <w:spacing w:after="0"/>
        <w:rPr>
          <w:bCs/>
          <w:lang w:val="fr-BE"/>
        </w:rPr>
      </w:pPr>
      <w:r>
        <w:rPr>
          <w:bCs/>
          <w:lang w:val="fr-BE"/>
        </w:rPr>
        <w:t>Entretien de l’étanchéité existante</w:t>
      </w:r>
      <w:r w:rsidR="00E30F33">
        <w:rPr>
          <w:bCs/>
          <w:lang w:val="fr-BE"/>
        </w:rPr>
        <w:t> </w:t>
      </w:r>
      <w:r>
        <w:rPr>
          <w:bCs/>
          <w:lang w:val="fr-BE"/>
        </w:rPr>
        <w:t>: Vérification et traitement – Prévoir un forfait.</w:t>
      </w:r>
    </w:p>
    <w:p w14:paraId="4EABA606" w14:textId="77777777" w:rsidR="007A7C0D" w:rsidRDefault="007A7C0D">
      <w:pPr>
        <w:spacing w:after="0"/>
        <w:rPr>
          <w:bCs/>
          <w:lang w:val="fr-BE"/>
        </w:rPr>
      </w:pPr>
    </w:p>
    <w:p w14:paraId="2A0D1164" w14:textId="77777777" w:rsidR="007A7C0D" w:rsidRDefault="00000000">
      <w:pPr>
        <w:pStyle w:val="Paragraphedeliste"/>
        <w:numPr>
          <w:ilvl w:val="0"/>
          <w:numId w:val="2"/>
        </w:numPr>
        <w:spacing w:after="0"/>
        <w:rPr>
          <w:bCs/>
          <w:lang w:val="fr-BE"/>
        </w:rPr>
      </w:pPr>
      <w:r>
        <w:rPr>
          <w:bCs/>
          <w:lang w:val="fr-BE"/>
        </w:rPr>
        <w:t>Conditions générales</w:t>
      </w:r>
    </w:p>
    <w:p w14:paraId="526101AB" w14:textId="4F59D434" w:rsidR="007A7C0D" w:rsidRDefault="00000000">
      <w:pPr>
        <w:spacing w:after="0"/>
        <w:jc w:val="both"/>
        <w:rPr>
          <w:bCs/>
          <w:lang w:val="fr-BE"/>
        </w:rPr>
      </w:pPr>
      <w:r>
        <w:rPr>
          <w:bCs/>
          <w:lang w:val="fr-BE"/>
        </w:rPr>
        <w:t>Assurance chantier</w:t>
      </w:r>
      <w:r w:rsidR="00E30F33">
        <w:rPr>
          <w:bCs/>
          <w:lang w:val="fr-BE"/>
        </w:rPr>
        <w:t> </w:t>
      </w:r>
      <w:r>
        <w:rPr>
          <w:bCs/>
          <w:lang w:val="fr-BE"/>
        </w:rPr>
        <w:t>: L’entreprise doit être couverte par une assurance responsabilité civile et décennale.</w:t>
      </w:r>
    </w:p>
    <w:p w14:paraId="6E89DCE0" w14:textId="4CC402D7" w:rsidR="007A7C0D" w:rsidRDefault="00000000">
      <w:pPr>
        <w:spacing w:after="0"/>
        <w:jc w:val="both"/>
        <w:rPr>
          <w:bCs/>
          <w:lang w:val="fr-BE"/>
        </w:rPr>
      </w:pPr>
      <w:r>
        <w:rPr>
          <w:bCs/>
          <w:lang w:val="fr-BE"/>
        </w:rPr>
        <w:t>Respect des normes</w:t>
      </w:r>
      <w:r w:rsidR="00E30F33">
        <w:rPr>
          <w:bCs/>
          <w:lang w:val="fr-BE"/>
        </w:rPr>
        <w:t> </w:t>
      </w:r>
      <w:r>
        <w:rPr>
          <w:bCs/>
          <w:lang w:val="fr-BE"/>
        </w:rPr>
        <w:t>: Tous les travaux doivent être réalisés conformément aux normes marocaines en vigueur.</w:t>
      </w:r>
    </w:p>
    <w:p w14:paraId="39EB82D3" w14:textId="5894F577" w:rsidR="007A7C0D" w:rsidRDefault="00000000">
      <w:pPr>
        <w:spacing w:after="0"/>
        <w:jc w:val="both"/>
        <w:rPr>
          <w:bCs/>
          <w:lang w:val="fr-BE"/>
        </w:rPr>
      </w:pPr>
      <w:r>
        <w:rPr>
          <w:bCs/>
          <w:lang w:val="fr-BE"/>
        </w:rPr>
        <w:t>Suivi des travaux</w:t>
      </w:r>
      <w:r w:rsidR="00E30F33">
        <w:rPr>
          <w:bCs/>
          <w:lang w:val="fr-BE"/>
        </w:rPr>
        <w:t> </w:t>
      </w:r>
      <w:r>
        <w:rPr>
          <w:bCs/>
          <w:lang w:val="fr-BE"/>
        </w:rPr>
        <w:t>: Un point de suivi sera réalisé chaque semaine avec un représentant de l</w:t>
      </w:r>
      <w:r w:rsidR="00E30F33">
        <w:rPr>
          <w:bCs/>
          <w:lang w:val="fr-BE"/>
        </w:rPr>
        <w:t>’</w:t>
      </w:r>
      <w:r>
        <w:rPr>
          <w:bCs/>
          <w:lang w:val="fr-BE"/>
        </w:rPr>
        <w:t>association OAG 2000.</w:t>
      </w:r>
    </w:p>
    <w:p w14:paraId="1B069F76" w14:textId="53CDD6AB" w:rsidR="007A7C0D" w:rsidRDefault="00000000">
      <w:pPr>
        <w:spacing w:after="0"/>
        <w:jc w:val="both"/>
        <w:rPr>
          <w:bCs/>
          <w:lang w:val="fr-BE"/>
        </w:rPr>
      </w:pPr>
      <w:r>
        <w:rPr>
          <w:bCs/>
          <w:lang w:val="fr-BE"/>
        </w:rPr>
        <w:t>Réception des travaux</w:t>
      </w:r>
      <w:r w:rsidR="00E30F33">
        <w:rPr>
          <w:bCs/>
          <w:lang w:val="fr-BE"/>
        </w:rPr>
        <w:t> </w:t>
      </w:r>
      <w:r>
        <w:rPr>
          <w:bCs/>
          <w:lang w:val="fr-BE"/>
        </w:rPr>
        <w:t>: Une réception provisoire puis définitive sera organisée.</w:t>
      </w:r>
    </w:p>
    <w:p w14:paraId="68203E4B" w14:textId="77777777" w:rsidR="007A7C0D" w:rsidRDefault="007A7C0D">
      <w:pPr>
        <w:rPr>
          <w:lang w:val="fr-BE"/>
        </w:rPr>
      </w:pPr>
    </w:p>
    <w:p w14:paraId="3802A793" w14:textId="1BE7C81A" w:rsidR="007A7C0D" w:rsidRDefault="00000000">
      <w:pPr>
        <w:jc w:val="both"/>
      </w:pPr>
      <w:r>
        <w:rPr>
          <w:rStyle w:val="lev"/>
          <w:iCs/>
        </w:rPr>
        <w:t>Lieu des travaux</w:t>
      </w:r>
      <w:r w:rsidR="00E30F33">
        <w:rPr>
          <w:rStyle w:val="lev"/>
          <w:b w:val="0"/>
          <w:bCs/>
          <w:iCs/>
        </w:rPr>
        <w:t> </w:t>
      </w:r>
      <w:r>
        <w:rPr>
          <w:rStyle w:val="lev"/>
          <w:b w:val="0"/>
          <w:bCs/>
          <w:iCs/>
        </w:rPr>
        <w:t xml:space="preserve">: </w:t>
      </w:r>
      <w:r w:rsidRPr="00E30F33">
        <w:rPr>
          <w:lang w:val="fr-BE"/>
        </w:rPr>
        <w:t>Centre social pour la Femme BD ALLAL EL FASSI DHAR LAMHALLA -LAZARET / Oujda-Maroc (en face de l’hôpital psychiatrique – CHU Mohammed VI</w:t>
      </w:r>
    </w:p>
    <w:p w14:paraId="58E3948F" w14:textId="28963673" w:rsidR="007A7C0D" w:rsidRDefault="00000000">
      <w:pPr>
        <w:jc w:val="both"/>
        <w:rPr>
          <w:b/>
          <w:bCs/>
          <w:lang w:val="fr-BE"/>
        </w:rPr>
      </w:pPr>
      <w:r>
        <w:rPr>
          <w:b/>
          <w:bCs/>
          <w:lang w:val="fr-BE"/>
        </w:rPr>
        <w:t>Durée des travaux</w:t>
      </w:r>
      <w:r w:rsidR="00E30F33">
        <w:rPr>
          <w:b/>
          <w:bCs/>
          <w:lang w:val="fr-BE"/>
        </w:rPr>
        <w:t> </w:t>
      </w:r>
      <w:r>
        <w:rPr>
          <w:b/>
          <w:bCs/>
          <w:lang w:val="fr-BE"/>
        </w:rPr>
        <w:t>:</w:t>
      </w:r>
    </w:p>
    <w:p w14:paraId="2DC709D7" w14:textId="77777777" w:rsidR="007A7C0D" w:rsidRDefault="00000000">
      <w:pPr>
        <w:numPr>
          <w:ilvl w:val="1"/>
          <w:numId w:val="3"/>
        </w:numPr>
        <w:tabs>
          <w:tab w:val="left" w:pos="-7560"/>
          <w:tab w:val="left" w:pos="-7200"/>
        </w:tabs>
        <w:spacing w:after="0"/>
        <w:rPr>
          <w:lang w:val="fr-BE"/>
        </w:rPr>
      </w:pPr>
      <w:r>
        <w:rPr>
          <w:lang w:val="fr-BE"/>
        </w:rPr>
        <w:t>60 jours après la signature du contrat pour la réception provisoire</w:t>
      </w:r>
    </w:p>
    <w:p w14:paraId="47D1596B" w14:textId="77777777" w:rsidR="007A7C0D" w:rsidRDefault="00000000">
      <w:pPr>
        <w:numPr>
          <w:ilvl w:val="1"/>
          <w:numId w:val="3"/>
        </w:numPr>
        <w:tabs>
          <w:tab w:val="left" w:pos="-7560"/>
          <w:tab w:val="left" w:pos="-7200"/>
        </w:tabs>
        <w:spacing w:after="0"/>
        <w:rPr>
          <w:lang w:val="fr-BE"/>
        </w:rPr>
      </w:pPr>
      <w:r>
        <w:rPr>
          <w:lang w:val="fr-BE"/>
        </w:rPr>
        <w:t>75 jours après la signature du contrat pour la réception définitive</w:t>
      </w:r>
    </w:p>
    <w:p w14:paraId="45602F51" w14:textId="77777777" w:rsidR="007A7C0D" w:rsidRDefault="007A7C0D">
      <w:pPr>
        <w:pStyle w:val="Paragraphedeliste"/>
        <w:rPr>
          <w:b/>
          <w:bCs/>
          <w:lang w:val="fr-BE"/>
        </w:rPr>
      </w:pPr>
    </w:p>
    <w:p w14:paraId="16042147" w14:textId="77777777" w:rsidR="007A7C0D" w:rsidRDefault="00000000">
      <w:pPr>
        <w:pStyle w:val="Paragraphedeliste"/>
        <w:numPr>
          <w:ilvl w:val="0"/>
          <w:numId w:val="1"/>
        </w:numPr>
        <w:rPr>
          <w:b/>
          <w:bCs/>
          <w:lang w:val="fr-BE"/>
        </w:rPr>
      </w:pPr>
      <w:r>
        <w:rPr>
          <w:b/>
          <w:bCs/>
          <w:lang w:val="fr-BE"/>
        </w:rPr>
        <w:t>Procédure</w:t>
      </w:r>
    </w:p>
    <w:p w14:paraId="377D5505" w14:textId="77777777" w:rsidR="007A7C0D" w:rsidRPr="00E30F33" w:rsidRDefault="00000000">
      <w:pPr>
        <w:jc w:val="both"/>
        <w:rPr>
          <w:u w:val="single"/>
          <w:lang w:val="fr-BE"/>
        </w:rPr>
      </w:pPr>
      <w:r w:rsidRPr="00E30F33">
        <w:rPr>
          <w:u w:val="single"/>
          <w:lang w:val="fr-BE"/>
        </w:rPr>
        <w:t>« La présente consultation est conduite conformément aux principes de transparence, d’égalité de traitement et de bonne gestion financière, en cohérence avec les exigences du bailleur de fonds. »</w:t>
      </w:r>
    </w:p>
    <w:p w14:paraId="35928CB1" w14:textId="77777777" w:rsidR="00E30F33" w:rsidRDefault="00E30F33">
      <w:pPr>
        <w:jc w:val="both"/>
        <w:rPr>
          <w:lang w:val="fr-BE"/>
        </w:rPr>
      </w:pPr>
    </w:p>
    <w:p w14:paraId="75B75757" w14:textId="77777777" w:rsidR="00E30F33" w:rsidRDefault="00E30F33">
      <w:pPr>
        <w:jc w:val="both"/>
        <w:rPr>
          <w:lang w:val="fr-BE"/>
        </w:rPr>
      </w:pPr>
    </w:p>
    <w:p w14:paraId="5E336B72" w14:textId="1D5C30E9" w:rsidR="007A7C0D" w:rsidRPr="00E30F33" w:rsidRDefault="00000000" w:rsidP="00E30F33">
      <w:pPr>
        <w:pStyle w:val="Paragraphedeliste"/>
        <w:numPr>
          <w:ilvl w:val="0"/>
          <w:numId w:val="7"/>
        </w:numPr>
        <w:jc w:val="both"/>
        <w:rPr>
          <w:lang w:val="fr-BE"/>
        </w:rPr>
      </w:pPr>
      <w:r w:rsidRPr="00E30F33">
        <w:rPr>
          <w:lang w:val="fr-BE"/>
        </w:rPr>
        <w:lastRenderedPageBreak/>
        <w:t xml:space="preserve">Une entreprise ne peut soumissionner que pour une seule offre à titre individuel. La participation d’un soumissionnaire à plus d’une offre pour un marché entraînera la disqualification de toutes les offres pour ce marché incluant la partie concernée. </w:t>
      </w:r>
    </w:p>
    <w:p w14:paraId="75ADCAF4" w14:textId="36C5022F" w:rsidR="007A7C0D" w:rsidRDefault="00000000" w:rsidP="00E30F33">
      <w:pPr>
        <w:pStyle w:val="Paragraphedeliste"/>
        <w:numPr>
          <w:ilvl w:val="0"/>
          <w:numId w:val="7"/>
        </w:numPr>
        <w:jc w:val="both"/>
      </w:pPr>
      <w:r w:rsidRPr="00E30F33">
        <w:rPr>
          <w:rStyle w:val="lev"/>
          <w:b w:val="0"/>
          <w:bCs/>
          <w:iCs/>
        </w:rPr>
        <w:t>Les soumissionnaires doivent déposer des offres pour la totalité des travaux demandés dans le dossier. Aucune offre incomplète ne sera acceptée.</w:t>
      </w:r>
    </w:p>
    <w:p w14:paraId="274FEAFA" w14:textId="1ED80E85" w:rsidR="007A7C0D" w:rsidRDefault="00000000" w:rsidP="00E30F33">
      <w:pPr>
        <w:pStyle w:val="Paragraphedeliste"/>
        <w:numPr>
          <w:ilvl w:val="0"/>
          <w:numId w:val="7"/>
        </w:numPr>
        <w:jc w:val="both"/>
      </w:pPr>
      <w:r w:rsidRPr="00E30F33">
        <w:rPr>
          <w:rStyle w:val="lev"/>
          <w:b w:val="0"/>
          <w:bCs/>
          <w:iCs/>
        </w:rPr>
        <w:t>La sous-traitance n’est pas autorisée.</w:t>
      </w:r>
    </w:p>
    <w:p w14:paraId="3FF647DF" w14:textId="310F8B55" w:rsidR="007A7C0D" w:rsidRPr="00E30F33" w:rsidRDefault="00000000" w:rsidP="00E30F33">
      <w:pPr>
        <w:pStyle w:val="Paragraphedeliste"/>
        <w:numPr>
          <w:ilvl w:val="0"/>
          <w:numId w:val="7"/>
        </w:numPr>
        <w:jc w:val="both"/>
        <w:rPr>
          <w:lang w:val="fr-BE"/>
        </w:rPr>
      </w:pPr>
      <w:r w:rsidRPr="00E30F33">
        <w:rPr>
          <w:lang w:val="fr-BE"/>
        </w:rPr>
        <w:t>Tous les frais associés à la préparation et à la soumission des offres sont à la charge du soumissionnaire. Le pouvoir adjudicateur n’encourt aucune responsabilité pour ces frais, et ce quel que soit le déroulement ou l’issue de la procédure.</w:t>
      </w:r>
    </w:p>
    <w:p w14:paraId="663001B0" w14:textId="1379EAE7" w:rsidR="007A7C0D" w:rsidRPr="00E30F33" w:rsidRDefault="00000000" w:rsidP="00E30F33">
      <w:pPr>
        <w:pStyle w:val="Paragraphedeliste"/>
        <w:numPr>
          <w:ilvl w:val="0"/>
          <w:numId w:val="7"/>
        </w:numPr>
        <w:jc w:val="both"/>
        <w:rPr>
          <w:lang w:val="fr-BE"/>
        </w:rPr>
      </w:pPr>
      <w:r w:rsidRPr="00E30F33">
        <w:rPr>
          <w:lang w:val="fr-BE"/>
        </w:rPr>
        <w:t>Le pouvoir adjudicateur n’assumera aucun frais ni ne couvrira aucune dépense ou perte éventuellement supportée par le soumissionnaire lors des visites et lors de l’examen du site ou pour tout autre aspect relatif à son offre.</w:t>
      </w:r>
    </w:p>
    <w:p w14:paraId="5ABDA84F" w14:textId="21A802EC" w:rsidR="007A7C0D" w:rsidRPr="00E30F33" w:rsidRDefault="00000000" w:rsidP="00E30F33">
      <w:pPr>
        <w:pStyle w:val="Paragraphedeliste"/>
        <w:numPr>
          <w:ilvl w:val="0"/>
          <w:numId w:val="7"/>
        </w:numPr>
        <w:jc w:val="both"/>
        <w:rPr>
          <w:lang w:val="fr-BE"/>
        </w:rPr>
      </w:pPr>
      <w:r w:rsidRPr="00E30F33">
        <w:rPr>
          <w:lang w:val="fr-BE"/>
        </w:rPr>
        <w:t>Les soumissionnaires sont entièrement responsables de l’examen attentif des documents de l’appel d’offres, toute modification envoyée lors de la période de soumission des offres, ainsi que pour l’obtention d’informations fiables sur les conditions et obligations susceptibles d’influer sur le montant ou la nature de l’offre ou l’exécution des travaux. Dans l’hypothèse où son offre serait retenue, aucune demande de modification du montant découlant d’erreurs ou d’omissions dans les obligations précédemment décrites ne sera admise.</w:t>
      </w:r>
    </w:p>
    <w:p w14:paraId="38EEC3B4" w14:textId="77777777" w:rsidR="007A7C0D" w:rsidRDefault="007A7C0D">
      <w:pPr>
        <w:jc w:val="both"/>
        <w:rPr>
          <w:lang w:val="fr-BE"/>
        </w:rPr>
      </w:pPr>
    </w:p>
    <w:p w14:paraId="3AD6A489" w14:textId="77777777" w:rsidR="007A7C0D" w:rsidRDefault="00000000">
      <w:pPr>
        <w:pStyle w:val="Paragraphedeliste"/>
        <w:numPr>
          <w:ilvl w:val="0"/>
          <w:numId w:val="1"/>
        </w:numPr>
        <w:rPr>
          <w:b/>
          <w:bCs/>
          <w:lang w:val="fr-BE"/>
        </w:rPr>
      </w:pPr>
      <w:r>
        <w:rPr>
          <w:b/>
          <w:bCs/>
          <w:lang w:val="fr-BE"/>
        </w:rPr>
        <w:t>Critères de sélection</w:t>
      </w:r>
    </w:p>
    <w:p w14:paraId="5772F4EF" w14:textId="77777777" w:rsidR="007A7C0D" w:rsidRDefault="00000000">
      <w:pPr>
        <w:jc w:val="both"/>
      </w:pPr>
      <w:r>
        <w:rPr>
          <w:b/>
          <w:bCs/>
          <w:lang w:val="fr-BE"/>
        </w:rPr>
        <w:t>Critère économique et financier :</w:t>
      </w:r>
      <w:r>
        <w:rPr>
          <w:lang w:val="fr-BE"/>
        </w:rPr>
        <w:t xml:space="preserve"> </w:t>
      </w:r>
    </w:p>
    <w:p w14:paraId="702B5481" w14:textId="77777777" w:rsidR="007A7C0D" w:rsidRPr="00E30F33" w:rsidRDefault="00000000">
      <w:pPr>
        <w:jc w:val="both"/>
        <w:rPr>
          <w:lang w:val="fr-BE"/>
        </w:rPr>
      </w:pPr>
      <w:r w:rsidRPr="00E30F33">
        <w:rPr>
          <w:lang w:val="fr-BE"/>
        </w:rPr>
        <w:t>Le soumissionnaire doit justifier d’une capacité financière suffisante en lien avec la nature du marché.</w:t>
      </w:r>
    </w:p>
    <w:p w14:paraId="4955D758" w14:textId="77777777" w:rsidR="007A7C0D" w:rsidRPr="00E30F33" w:rsidRDefault="00000000">
      <w:pPr>
        <w:jc w:val="both"/>
        <w:rPr>
          <w:lang w:val="fr-BE"/>
        </w:rPr>
      </w:pPr>
      <w:r w:rsidRPr="00E30F33">
        <w:rPr>
          <w:lang w:val="fr-BE"/>
        </w:rPr>
        <w:t>Le chiffre d’affaires annuel moyen du soumissionnaire au cours des trois dernières années doit être égal au moins à 300 000 MAD.</w:t>
      </w:r>
    </w:p>
    <w:p w14:paraId="7D3315D2" w14:textId="77777777" w:rsidR="007A7C0D" w:rsidRDefault="00000000">
      <w:pPr>
        <w:jc w:val="both"/>
      </w:pPr>
      <w:r>
        <w:rPr>
          <w:b/>
          <w:bCs/>
          <w:lang w:val="fr-BE"/>
        </w:rPr>
        <w:t>Critère technique :</w:t>
      </w:r>
      <w:r>
        <w:rPr>
          <w:lang w:val="fr-BE"/>
        </w:rPr>
        <w:t xml:space="preserve"> le soumissionnaire doit avoir achevé au moins 3 projets dont le volume et la complexité sont identiques aux travaux sur lesquels l’offre porte et ayant été mis en œuvre entre juin 2022 et juin 2025 Le soumissionnaire doit fournir des copies des certificats de réception finale signés par les maîtres d’œuvre/le pouvoir adjudicateur pour les projets concernés.</w:t>
      </w:r>
    </w:p>
    <w:p w14:paraId="2BD904BD" w14:textId="11AE2622" w:rsidR="007A7C0D" w:rsidRDefault="00000000">
      <w:pPr>
        <w:jc w:val="both"/>
      </w:pPr>
      <w:r>
        <w:rPr>
          <w:b/>
          <w:bCs/>
          <w:lang w:val="fr-BE"/>
        </w:rPr>
        <w:t>Critère professionnel</w:t>
      </w:r>
      <w:r>
        <w:rPr>
          <w:lang w:val="fr-BE"/>
        </w:rPr>
        <w:t xml:space="preserve"> : le soumissionnaire doit disposer d’au moins 3 employés disposant de </w:t>
      </w:r>
      <w:r w:rsidR="00E30F33">
        <w:rPr>
          <w:lang w:val="fr-BE"/>
        </w:rPr>
        <w:t>5 à 10</w:t>
      </w:r>
      <w:r>
        <w:rPr>
          <w:lang w:val="fr-BE"/>
        </w:rPr>
        <w:t xml:space="preserve"> années d’expérience appropriée et avoir les qualifications, attestées pour la conduite du présent projet. Les CV des personnels doivent être fournis dans l’offre du soumissionnaire.</w:t>
      </w:r>
    </w:p>
    <w:p w14:paraId="3F978C6B" w14:textId="77777777" w:rsidR="007A7C0D" w:rsidRDefault="00000000">
      <w:pPr>
        <w:jc w:val="both"/>
      </w:pPr>
      <w:r>
        <w:t>Sont exclues de la participation au présent appel d’offres ou de l’attribution d’un marché les personnes physiques, entreprises ou sociétés qui se trouvent sous sanction de l’Union européenne, en état de faillite ou faisant l’objet d’une procédure d’insolvabilité, s’il a été établi par un jugement définitif ou une décision administrative définitive qu’elle n’a pas respecté ses obligations relatives au paiement des impôts ou des cotisations de sécurité sociale conformément au droit applicable ; s’il a été établi par un jugement définitif ou une décision administrative définitive qu’elle a commis une faute professionnelle grave ; s’il a été établi par un jugement définitif que la personne est coupable de faits de corruption, terrorisme, fraude, comportements liés à une organisation criminelle, blanchiment de capitaux, etc.</w:t>
      </w:r>
    </w:p>
    <w:p w14:paraId="33F2C2D5" w14:textId="77777777" w:rsidR="007A7C0D" w:rsidRDefault="007A7C0D">
      <w:pPr>
        <w:jc w:val="both"/>
        <w:rPr>
          <w:b/>
          <w:bCs/>
        </w:rPr>
      </w:pPr>
    </w:p>
    <w:p w14:paraId="3A98F1E2" w14:textId="77777777" w:rsidR="002274DD" w:rsidRDefault="002274DD">
      <w:pPr>
        <w:jc w:val="both"/>
        <w:rPr>
          <w:b/>
          <w:bCs/>
        </w:rPr>
      </w:pPr>
    </w:p>
    <w:p w14:paraId="032936AE" w14:textId="77777777" w:rsidR="007A7C0D" w:rsidRPr="00B810F8" w:rsidRDefault="00000000">
      <w:pPr>
        <w:pStyle w:val="Paragraphedeliste"/>
        <w:numPr>
          <w:ilvl w:val="0"/>
          <w:numId w:val="1"/>
        </w:numPr>
        <w:rPr>
          <w:b/>
          <w:bCs/>
          <w:shd w:val="clear" w:color="auto" w:fill="FFFF00"/>
          <w:lang w:val="fr-BE"/>
        </w:rPr>
      </w:pPr>
      <w:r w:rsidRPr="00B810F8">
        <w:rPr>
          <w:b/>
          <w:bCs/>
          <w:lang w:val="fr-BE"/>
        </w:rPr>
        <w:lastRenderedPageBreak/>
        <w:t>Calendrier</w:t>
      </w:r>
    </w:p>
    <w:tbl>
      <w:tblPr>
        <w:tblW w:w="9062" w:type="dxa"/>
        <w:tblCellMar>
          <w:left w:w="10" w:type="dxa"/>
          <w:right w:w="10" w:type="dxa"/>
        </w:tblCellMar>
        <w:tblLook w:val="0000" w:firstRow="0" w:lastRow="0" w:firstColumn="0" w:lastColumn="0" w:noHBand="0" w:noVBand="0"/>
      </w:tblPr>
      <w:tblGrid>
        <w:gridCol w:w="3170"/>
        <w:gridCol w:w="3329"/>
        <w:gridCol w:w="2563"/>
      </w:tblGrid>
      <w:tr w:rsidR="007A7C0D" w14:paraId="204303BA" w14:textId="77777777">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367C2" w14:textId="77777777" w:rsidR="007A7C0D" w:rsidRDefault="00000000">
            <w:pPr>
              <w:spacing w:after="0"/>
              <w:rPr>
                <w:b/>
                <w:bCs/>
                <w:sz w:val="24"/>
                <w:szCs w:val="24"/>
                <w:lang w:val="fr-BE"/>
              </w:rPr>
            </w:pPr>
            <w:r>
              <w:rPr>
                <w:b/>
                <w:bCs/>
                <w:sz w:val="24"/>
                <w:szCs w:val="24"/>
                <w:lang w:val="fr-BE"/>
              </w:rPr>
              <w:t>Etapes</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0604F" w14:textId="77777777" w:rsidR="007A7C0D" w:rsidRPr="00B810F8" w:rsidRDefault="00000000">
            <w:pPr>
              <w:spacing w:after="0"/>
              <w:rPr>
                <w:b/>
                <w:bCs/>
                <w:sz w:val="24"/>
                <w:szCs w:val="24"/>
                <w:lang w:val="fr-BE"/>
              </w:rPr>
            </w:pPr>
            <w:r w:rsidRPr="00B810F8">
              <w:rPr>
                <w:b/>
                <w:bCs/>
                <w:sz w:val="24"/>
                <w:szCs w:val="24"/>
                <w:lang w:val="fr-BE"/>
              </w:rPr>
              <w:t>Dates prévisionnelles</w:t>
            </w:r>
          </w:p>
        </w:tc>
        <w:tc>
          <w:tcPr>
            <w:tcW w:w="2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B9794" w14:textId="77777777" w:rsidR="007A7C0D" w:rsidRDefault="00000000">
            <w:pPr>
              <w:spacing w:after="0"/>
              <w:rPr>
                <w:b/>
                <w:bCs/>
                <w:sz w:val="24"/>
                <w:szCs w:val="24"/>
                <w:lang w:val="fr-BE"/>
              </w:rPr>
            </w:pPr>
            <w:r>
              <w:rPr>
                <w:b/>
                <w:bCs/>
                <w:sz w:val="24"/>
                <w:szCs w:val="24"/>
                <w:lang w:val="fr-BE"/>
              </w:rPr>
              <w:t>Délais</w:t>
            </w:r>
          </w:p>
        </w:tc>
      </w:tr>
      <w:tr w:rsidR="007A7C0D" w14:paraId="7AAF8555" w14:textId="77777777">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2ACD2" w14:textId="77777777" w:rsidR="007A7C0D" w:rsidRDefault="00000000">
            <w:pPr>
              <w:spacing w:after="0"/>
              <w:rPr>
                <w:sz w:val="24"/>
                <w:szCs w:val="24"/>
                <w:lang w:val="fr-BE"/>
              </w:rPr>
            </w:pPr>
            <w:r>
              <w:rPr>
                <w:sz w:val="24"/>
                <w:szCs w:val="24"/>
                <w:lang w:val="fr-BE"/>
              </w:rPr>
              <w:t>Publication de l’appel d’offres</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CBB40" w14:textId="4D717171" w:rsidR="007A7C0D" w:rsidRDefault="00000000">
            <w:pPr>
              <w:spacing w:after="0"/>
              <w:rPr>
                <w:sz w:val="24"/>
                <w:szCs w:val="24"/>
                <w:lang w:val="fr-BE"/>
              </w:rPr>
            </w:pPr>
            <w:r>
              <w:rPr>
                <w:sz w:val="24"/>
                <w:szCs w:val="24"/>
                <w:lang w:val="fr-BE"/>
              </w:rPr>
              <w:t xml:space="preserve">Lundi </w:t>
            </w:r>
            <w:r w:rsidR="00E30F33">
              <w:rPr>
                <w:sz w:val="24"/>
                <w:szCs w:val="24"/>
                <w:lang w:val="fr-BE"/>
              </w:rPr>
              <w:t xml:space="preserve">04 mai </w:t>
            </w:r>
          </w:p>
        </w:tc>
        <w:tc>
          <w:tcPr>
            <w:tcW w:w="2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83A3F" w14:textId="77777777" w:rsidR="007A7C0D" w:rsidRDefault="00000000">
            <w:pPr>
              <w:spacing w:after="0"/>
            </w:pPr>
            <w:r w:rsidRPr="00E30F33">
              <w:rPr>
                <w:sz w:val="24"/>
                <w:szCs w:val="24"/>
                <w:lang w:val="fr-BE"/>
              </w:rPr>
              <w:t>Les soumissionnaires disposent de 3 semaines pour préparer leur dossier.</w:t>
            </w:r>
          </w:p>
        </w:tc>
      </w:tr>
      <w:tr w:rsidR="007A7C0D" w14:paraId="36288CA4" w14:textId="77777777">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B1739" w14:textId="77777777" w:rsidR="007A7C0D" w:rsidRDefault="00000000">
            <w:pPr>
              <w:spacing w:after="0"/>
              <w:rPr>
                <w:sz w:val="24"/>
                <w:szCs w:val="24"/>
                <w:lang w:val="fr-BE"/>
              </w:rPr>
            </w:pPr>
            <w:r>
              <w:rPr>
                <w:sz w:val="24"/>
                <w:szCs w:val="24"/>
                <w:lang w:val="fr-BE"/>
              </w:rPr>
              <w:t>Réunion d’information et visite de chantier</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6BD98" w14:textId="21D5B1FC" w:rsidR="007A7C0D" w:rsidRDefault="00000000">
            <w:pPr>
              <w:spacing w:after="0"/>
              <w:rPr>
                <w:sz w:val="24"/>
                <w:szCs w:val="24"/>
                <w:lang w:val="fr-BE"/>
              </w:rPr>
            </w:pPr>
            <w:r>
              <w:rPr>
                <w:sz w:val="24"/>
                <w:szCs w:val="24"/>
                <w:lang w:val="fr-BE"/>
              </w:rPr>
              <w:t xml:space="preserve">Lundi </w:t>
            </w:r>
            <w:r w:rsidR="00E30F33">
              <w:rPr>
                <w:sz w:val="24"/>
                <w:szCs w:val="24"/>
                <w:lang w:val="fr-BE"/>
              </w:rPr>
              <w:t>11 mai</w:t>
            </w: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72E5" w14:textId="77777777" w:rsidR="007A7C0D" w:rsidRDefault="007A7C0D">
            <w:pPr>
              <w:spacing w:after="0"/>
              <w:rPr>
                <w:sz w:val="24"/>
                <w:szCs w:val="24"/>
                <w:lang w:val="fr-BE"/>
              </w:rPr>
            </w:pPr>
          </w:p>
        </w:tc>
      </w:tr>
      <w:tr w:rsidR="007A7C0D" w14:paraId="2A0DF8E7" w14:textId="77777777">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83410" w14:textId="77777777" w:rsidR="007A7C0D" w:rsidRDefault="00000000">
            <w:pPr>
              <w:spacing w:after="0"/>
              <w:rPr>
                <w:sz w:val="24"/>
                <w:szCs w:val="24"/>
                <w:lang w:val="fr-BE"/>
              </w:rPr>
            </w:pPr>
            <w:r>
              <w:rPr>
                <w:sz w:val="24"/>
                <w:szCs w:val="24"/>
                <w:lang w:val="fr-BE"/>
              </w:rPr>
              <w:t>Date limite pour la réception des offres</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22466" w14:textId="12092E96" w:rsidR="007A7C0D" w:rsidRDefault="00000000">
            <w:pPr>
              <w:spacing w:after="0"/>
              <w:rPr>
                <w:sz w:val="24"/>
                <w:szCs w:val="24"/>
                <w:lang w:val="fr-BE"/>
              </w:rPr>
            </w:pPr>
            <w:r>
              <w:rPr>
                <w:sz w:val="24"/>
                <w:szCs w:val="24"/>
                <w:lang w:val="fr-BE"/>
              </w:rPr>
              <w:t xml:space="preserve">Lundi </w:t>
            </w:r>
            <w:r w:rsidR="00E30F33">
              <w:rPr>
                <w:sz w:val="24"/>
                <w:szCs w:val="24"/>
                <w:lang w:val="fr-BE"/>
              </w:rPr>
              <w:t>15 mai</w:t>
            </w: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B4E0C" w14:textId="77777777" w:rsidR="007A7C0D" w:rsidRDefault="007A7C0D">
            <w:pPr>
              <w:spacing w:after="0"/>
              <w:rPr>
                <w:sz w:val="24"/>
                <w:szCs w:val="24"/>
                <w:lang w:val="fr-BE"/>
              </w:rPr>
            </w:pPr>
          </w:p>
        </w:tc>
      </w:tr>
      <w:tr w:rsidR="007A7C0D" w14:paraId="5A7594F8" w14:textId="77777777">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287E3" w14:textId="77777777" w:rsidR="007A7C0D" w:rsidRDefault="00000000">
            <w:pPr>
              <w:spacing w:after="0"/>
              <w:rPr>
                <w:sz w:val="24"/>
                <w:szCs w:val="24"/>
                <w:lang w:val="fr-BE"/>
              </w:rPr>
            </w:pPr>
            <w:r>
              <w:rPr>
                <w:sz w:val="24"/>
                <w:szCs w:val="24"/>
                <w:lang w:val="fr-BE"/>
              </w:rPr>
              <w:t>Evaluation des offres</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404BA" w14:textId="73E0E07A" w:rsidR="007A7C0D" w:rsidRDefault="00000000">
            <w:pPr>
              <w:spacing w:after="0"/>
              <w:rPr>
                <w:sz w:val="24"/>
                <w:szCs w:val="24"/>
                <w:lang w:val="fr-BE"/>
              </w:rPr>
            </w:pPr>
            <w:r>
              <w:rPr>
                <w:sz w:val="24"/>
                <w:szCs w:val="24"/>
                <w:lang w:val="fr-BE"/>
              </w:rPr>
              <w:t xml:space="preserve">Mardi </w:t>
            </w:r>
            <w:r w:rsidR="00E30F33">
              <w:rPr>
                <w:sz w:val="24"/>
                <w:szCs w:val="24"/>
                <w:lang w:val="fr-BE"/>
              </w:rPr>
              <w:t>18</w:t>
            </w:r>
            <w:r>
              <w:rPr>
                <w:sz w:val="24"/>
                <w:szCs w:val="24"/>
                <w:lang w:val="fr-BE"/>
              </w:rPr>
              <w:t xml:space="preserve"> au vendredi </w:t>
            </w:r>
            <w:r w:rsidR="00E30F33">
              <w:rPr>
                <w:sz w:val="24"/>
                <w:szCs w:val="24"/>
                <w:lang w:val="fr-BE"/>
              </w:rPr>
              <w:t xml:space="preserve"> 22 </w:t>
            </w:r>
            <w:r>
              <w:rPr>
                <w:sz w:val="24"/>
                <w:szCs w:val="24"/>
                <w:lang w:val="fr-BE"/>
              </w:rPr>
              <w:t>Mai</w:t>
            </w:r>
          </w:p>
        </w:tc>
        <w:tc>
          <w:tcPr>
            <w:tcW w:w="2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637C0" w14:textId="77777777" w:rsidR="007A7C0D" w:rsidRDefault="00000000">
            <w:pPr>
              <w:spacing w:after="0"/>
              <w:rPr>
                <w:sz w:val="24"/>
                <w:szCs w:val="24"/>
                <w:lang w:val="fr-BE"/>
              </w:rPr>
            </w:pPr>
            <w:r>
              <w:rPr>
                <w:sz w:val="24"/>
                <w:szCs w:val="24"/>
                <w:lang w:val="fr-BE"/>
              </w:rPr>
              <w:t>OAG dispose d’une semaine pour l’ouverture et l’évaluation des offres</w:t>
            </w:r>
          </w:p>
        </w:tc>
      </w:tr>
      <w:tr w:rsidR="007A7C0D" w14:paraId="20D0EC0B" w14:textId="77777777">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0CE39" w14:textId="77777777" w:rsidR="007A7C0D" w:rsidRDefault="00000000">
            <w:pPr>
              <w:spacing w:after="0"/>
              <w:rPr>
                <w:sz w:val="24"/>
                <w:szCs w:val="24"/>
                <w:lang w:val="fr-BE"/>
              </w:rPr>
            </w:pPr>
            <w:r>
              <w:rPr>
                <w:sz w:val="24"/>
                <w:szCs w:val="24"/>
                <w:lang w:val="fr-BE"/>
              </w:rPr>
              <w:t>Attribution du marché et publication des résultats</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462A2" w14:textId="77777777" w:rsidR="007A7C0D" w:rsidRDefault="00000000">
            <w:pPr>
              <w:spacing w:after="0"/>
              <w:rPr>
                <w:sz w:val="24"/>
                <w:szCs w:val="24"/>
                <w:lang w:val="fr-BE"/>
              </w:rPr>
            </w:pPr>
            <w:r>
              <w:rPr>
                <w:sz w:val="24"/>
                <w:szCs w:val="24"/>
                <w:lang w:val="fr-BE"/>
              </w:rPr>
              <w:t>Vendredi 22 mai</w:t>
            </w: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8B97F" w14:textId="77777777" w:rsidR="007A7C0D" w:rsidRDefault="007A7C0D">
            <w:pPr>
              <w:spacing w:after="0"/>
              <w:rPr>
                <w:sz w:val="24"/>
                <w:szCs w:val="24"/>
                <w:lang w:val="fr-BE"/>
              </w:rPr>
            </w:pPr>
          </w:p>
        </w:tc>
      </w:tr>
      <w:tr w:rsidR="007A7C0D" w14:paraId="3FF594CC" w14:textId="77777777">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C309A" w14:textId="77777777" w:rsidR="007A7C0D" w:rsidRDefault="00000000">
            <w:pPr>
              <w:spacing w:after="0"/>
              <w:rPr>
                <w:sz w:val="24"/>
                <w:szCs w:val="24"/>
                <w:lang w:val="fr-BE"/>
              </w:rPr>
            </w:pPr>
            <w:r>
              <w:rPr>
                <w:sz w:val="24"/>
                <w:szCs w:val="24"/>
                <w:lang w:val="fr-BE"/>
              </w:rPr>
              <w:t>Signature du contrat</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13CD1" w14:textId="5B9D8D76" w:rsidR="007A7C0D" w:rsidRDefault="00000000">
            <w:pPr>
              <w:spacing w:after="0"/>
              <w:rPr>
                <w:sz w:val="24"/>
                <w:szCs w:val="24"/>
                <w:lang w:val="fr-BE"/>
              </w:rPr>
            </w:pPr>
            <w:r>
              <w:rPr>
                <w:sz w:val="24"/>
                <w:szCs w:val="24"/>
                <w:lang w:val="fr-BE"/>
              </w:rPr>
              <w:t>Lundi 2</w:t>
            </w:r>
            <w:r w:rsidR="00F80963">
              <w:rPr>
                <w:sz w:val="24"/>
                <w:szCs w:val="24"/>
                <w:lang w:val="fr-BE"/>
              </w:rPr>
              <w:t>9</w:t>
            </w:r>
            <w:r>
              <w:rPr>
                <w:sz w:val="24"/>
                <w:szCs w:val="24"/>
                <w:lang w:val="fr-BE"/>
              </w:rPr>
              <w:t xml:space="preserve"> mai</w:t>
            </w:r>
          </w:p>
        </w:tc>
        <w:tc>
          <w:tcPr>
            <w:tcW w:w="2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F299" w14:textId="77777777" w:rsidR="007A7C0D" w:rsidRDefault="00000000">
            <w:pPr>
              <w:spacing w:after="0"/>
              <w:rPr>
                <w:sz w:val="24"/>
                <w:szCs w:val="24"/>
                <w:lang w:val="fr-BE"/>
              </w:rPr>
            </w:pPr>
            <w:r>
              <w:rPr>
                <w:sz w:val="24"/>
                <w:szCs w:val="24"/>
                <w:lang w:val="fr-BE"/>
              </w:rPr>
              <w:t>OAG dispose d’une semaine pour la préparation du contrat</w:t>
            </w:r>
          </w:p>
        </w:tc>
      </w:tr>
      <w:tr w:rsidR="007A7C0D" w14:paraId="51CB3CEA" w14:textId="77777777">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A3F4F" w14:textId="77777777" w:rsidR="007A7C0D" w:rsidRDefault="00000000">
            <w:pPr>
              <w:spacing w:after="0"/>
              <w:rPr>
                <w:sz w:val="24"/>
                <w:szCs w:val="24"/>
                <w:lang w:val="fr-BE"/>
              </w:rPr>
            </w:pPr>
            <w:r>
              <w:rPr>
                <w:sz w:val="24"/>
                <w:szCs w:val="24"/>
                <w:lang w:val="fr-BE"/>
              </w:rPr>
              <w:t>Démarrage des travaux</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B9470" w14:textId="77777777" w:rsidR="007A7C0D" w:rsidRDefault="00000000">
            <w:pPr>
              <w:spacing w:after="0"/>
            </w:pPr>
            <w:r>
              <w:rPr>
                <w:sz w:val="24"/>
                <w:szCs w:val="24"/>
                <w:lang w:val="fr-BE"/>
              </w:rPr>
              <w:t>Lundi 1</w:t>
            </w:r>
            <w:r>
              <w:rPr>
                <w:sz w:val="24"/>
                <w:szCs w:val="24"/>
                <w:vertAlign w:val="superscript"/>
                <w:lang w:val="fr-BE"/>
              </w:rPr>
              <w:t>er</w:t>
            </w:r>
            <w:r>
              <w:rPr>
                <w:sz w:val="24"/>
                <w:szCs w:val="24"/>
                <w:lang w:val="fr-BE"/>
              </w:rPr>
              <w:t xml:space="preserve"> juin</w:t>
            </w:r>
          </w:p>
        </w:tc>
        <w:tc>
          <w:tcPr>
            <w:tcW w:w="2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6540" w14:textId="77777777" w:rsidR="007A7C0D" w:rsidRDefault="00000000">
            <w:pPr>
              <w:spacing w:after="0"/>
              <w:rPr>
                <w:sz w:val="24"/>
                <w:szCs w:val="24"/>
                <w:lang w:val="fr-BE"/>
              </w:rPr>
            </w:pPr>
            <w:r>
              <w:rPr>
                <w:sz w:val="24"/>
                <w:szCs w:val="24"/>
                <w:lang w:val="fr-BE"/>
              </w:rPr>
              <w:t>Le contractant dispose de 2 mois pour réaliser les travaux.</w:t>
            </w:r>
          </w:p>
        </w:tc>
      </w:tr>
      <w:tr w:rsidR="007A7C0D" w14:paraId="5D327272" w14:textId="77777777">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CAFBA" w14:textId="77777777" w:rsidR="007A7C0D" w:rsidRDefault="00000000">
            <w:pPr>
              <w:spacing w:after="0"/>
              <w:rPr>
                <w:sz w:val="24"/>
                <w:szCs w:val="24"/>
                <w:lang w:val="fr-BE"/>
              </w:rPr>
            </w:pPr>
            <w:r>
              <w:rPr>
                <w:sz w:val="24"/>
                <w:szCs w:val="24"/>
                <w:lang w:val="fr-BE"/>
              </w:rPr>
              <w:t>Fin des travaux – Réception provisoire</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E60CB" w14:textId="3A4BC04F" w:rsidR="007A7C0D" w:rsidRDefault="00F80963">
            <w:pPr>
              <w:spacing w:after="0"/>
            </w:pPr>
            <w:r>
              <w:rPr>
                <w:sz w:val="24"/>
                <w:szCs w:val="24"/>
                <w:lang w:val="fr-BE"/>
              </w:rPr>
              <w:t xml:space="preserve">Vendredi 31 juillet  </w:t>
            </w:r>
          </w:p>
        </w:tc>
        <w:tc>
          <w:tcPr>
            <w:tcW w:w="2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06B6" w14:textId="77777777" w:rsidR="007A7C0D" w:rsidRDefault="007A7C0D">
            <w:pPr>
              <w:spacing w:after="0"/>
              <w:rPr>
                <w:sz w:val="24"/>
                <w:szCs w:val="24"/>
                <w:lang w:val="fr-BE"/>
              </w:rPr>
            </w:pPr>
          </w:p>
        </w:tc>
      </w:tr>
      <w:tr w:rsidR="007A7C0D" w14:paraId="477B9B91" w14:textId="77777777">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D62D7" w14:textId="77777777" w:rsidR="007A7C0D" w:rsidRDefault="00000000">
            <w:pPr>
              <w:spacing w:after="0"/>
              <w:rPr>
                <w:sz w:val="24"/>
                <w:szCs w:val="24"/>
                <w:lang w:val="fr-BE"/>
              </w:rPr>
            </w:pPr>
            <w:r>
              <w:rPr>
                <w:sz w:val="24"/>
                <w:szCs w:val="24"/>
                <w:lang w:val="fr-BE"/>
              </w:rPr>
              <w:t>Réception définitive</w:t>
            </w:r>
          </w:p>
        </w:tc>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5D3BB" w14:textId="77777777" w:rsidR="007A7C0D" w:rsidRDefault="00000000">
            <w:pPr>
              <w:spacing w:after="0"/>
              <w:rPr>
                <w:sz w:val="24"/>
                <w:szCs w:val="24"/>
                <w:lang w:val="fr-BE"/>
              </w:rPr>
            </w:pPr>
            <w:r>
              <w:rPr>
                <w:sz w:val="24"/>
                <w:szCs w:val="24"/>
                <w:lang w:val="fr-BE"/>
              </w:rPr>
              <w:t xml:space="preserve">Lundi 17 aout </w:t>
            </w:r>
          </w:p>
        </w:tc>
        <w:tc>
          <w:tcPr>
            <w:tcW w:w="2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9010" w14:textId="77777777" w:rsidR="007A7C0D" w:rsidRDefault="00000000">
            <w:pPr>
              <w:spacing w:after="0"/>
              <w:rPr>
                <w:sz w:val="24"/>
                <w:szCs w:val="24"/>
                <w:lang w:val="fr-BE"/>
              </w:rPr>
            </w:pPr>
            <w:r>
              <w:rPr>
                <w:sz w:val="24"/>
                <w:szCs w:val="24"/>
                <w:lang w:val="fr-BE"/>
              </w:rPr>
              <w:t xml:space="preserve">Après la réception provisoire, le contractant dispose de 15 jours pour prendre en compte les remarques et demandes d’OAG. </w:t>
            </w:r>
          </w:p>
        </w:tc>
      </w:tr>
    </w:tbl>
    <w:p w14:paraId="6C0BD6C6" w14:textId="77777777" w:rsidR="007A7C0D" w:rsidRDefault="007A7C0D">
      <w:pPr>
        <w:rPr>
          <w:b/>
          <w:bCs/>
        </w:rPr>
      </w:pPr>
    </w:p>
    <w:p w14:paraId="1D3B669D" w14:textId="3D6DD986" w:rsidR="007A7C0D" w:rsidRPr="00F80963" w:rsidRDefault="00F80963">
      <w:pPr>
        <w:jc w:val="both"/>
        <w:rPr>
          <w:b/>
          <w:bCs/>
          <w:lang w:val="fr-BE"/>
        </w:rPr>
      </w:pPr>
      <w:r>
        <w:rPr>
          <w:b/>
          <w:bCs/>
          <w:lang w:val="fr-BE"/>
        </w:rPr>
        <w:t xml:space="preserve">NB : </w:t>
      </w:r>
      <w:r w:rsidRPr="00F80963">
        <w:rPr>
          <w:u w:val="single"/>
          <w:lang w:val="fr-BE"/>
        </w:rPr>
        <w:t>La réunion d’information et la visite de site aura lieu à l’initiative du pouvoir adjudicateur (voir date, heure et lieu, supra). Le soumissionnaire est fortement invité à visiter et inspecter le site des travaux et ses alentours afin de déterminer, sous sa propre responsabilité, à ses frais et à ses risques, les éléments nécessaires à la préparation de son offre et à la signature du marché de travaux au cours</w:t>
      </w:r>
      <w:r w:rsidRPr="00F80963">
        <w:rPr>
          <w:b/>
          <w:bCs/>
          <w:lang w:val="fr-BE"/>
        </w:rPr>
        <w:t xml:space="preserve">. </w:t>
      </w:r>
    </w:p>
    <w:p w14:paraId="0ADC521B" w14:textId="77777777" w:rsidR="007A7C0D" w:rsidRDefault="007A7C0D">
      <w:pPr>
        <w:jc w:val="both"/>
        <w:rPr>
          <w:b/>
          <w:bCs/>
          <w:lang w:val="fr-BE"/>
        </w:rPr>
      </w:pPr>
    </w:p>
    <w:p w14:paraId="41468AB5" w14:textId="77777777" w:rsidR="007A7C0D" w:rsidRDefault="00000000">
      <w:pPr>
        <w:pStyle w:val="Paragraphedeliste"/>
        <w:numPr>
          <w:ilvl w:val="0"/>
          <w:numId w:val="1"/>
        </w:numPr>
      </w:pPr>
      <w:r>
        <w:rPr>
          <w:b/>
          <w:bCs/>
          <w:lang w:val="fr-BE"/>
        </w:rPr>
        <w:t xml:space="preserve">Contenu des offres </w:t>
      </w:r>
    </w:p>
    <w:p w14:paraId="4A4424BC" w14:textId="77777777" w:rsidR="007A7C0D" w:rsidRDefault="00000000">
      <w:pPr>
        <w:rPr>
          <w:lang w:val="fr-BE"/>
        </w:rPr>
      </w:pPr>
      <w:r>
        <w:rPr>
          <w:lang w:val="fr-BE"/>
        </w:rPr>
        <w:t>Il est attendu des soumissionnaires qu’ils fournissent :</w:t>
      </w:r>
    </w:p>
    <w:p w14:paraId="3342181D" w14:textId="77777777" w:rsidR="007A7C0D" w:rsidRDefault="00000000">
      <w:pPr>
        <w:pStyle w:val="Paragraphedeliste"/>
        <w:numPr>
          <w:ilvl w:val="0"/>
          <w:numId w:val="4"/>
        </w:numPr>
        <w:rPr>
          <w:lang w:val="fr-BE"/>
        </w:rPr>
      </w:pPr>
      <w:r>
        <w:rPr>
          <w:lang w:val="fr-BE"/>
        </w:rPr>
        <w:t>Une offre technique et financière</w:t>
      </w:r>
    </w:p>
    <w:p w14:paraId="09A3E5E2" w14:textId="77777777" w:rsidR="007A7C0D" w:rsidRDefault="00000000">
      <w:pPr>
        <w:pStyle w:val="Paragraphedeliste"/>
        <w:numPr>
          <w:ilvl w:val="0"/>
          <w:numId w:val="4"/>
        </w:numPr>
        <w:rPr>
          <w:lang w:val="fr-BE"/>
        </w:rPr>
      </w:pPr>
      <w:r>
        <w:rPr>
          <w:lang w:val="fr-BE"/>
        </w:rPr>
        <w:t>Le certificat d’enregistrement / immatriculation de la société</w:t>
      </w:r>
    </w:p>
    <w:p w14:paraId="6FB6BE4E" w14:textId="77777777" w:rsidR="007A7C0D" w:rsidRDefault="00000000">
      <w:pPr>
        <w:pStyle w:val="Paragraphedeliste"/>
        <w:numPr>
          <w:ilvl w:val="0"/>
          <w:numId w:val="4"/>
        </w:numPr>
        <w:rPr>
          <w:lang w:val="fr-BE"/>
        </w:rPr>
      </w:pPr>
      <w:r>
        <w:rPr>
          <w:lang w:val="fr-BE"/>
        </w:rPr>
        <w:t xml:space="preserve">La pièce d'identité du signataire et pouvoir de signature </w:t>
      </w:r>
    </w:p>
    <w:p w14:paraId="50AFA0CF" w14:textId="77777777" w:rsidR="007A7C0D" w:rsidRDefault="00000000">
      <w:pPr>
        <w:pStyle w:val="Paragraphedeliste"/>
        <w:numPr>
          <w:ilvl w:val="0"/>
          <w:numId w:val="4"/>
        </w:numPr>
        <w:rPr>
          <w:lang w:val="fr-BE"/>
        </w:rPr>
      </w:pPr>
      <w:r>
        <w:rPr>
          <w:lang w:val="fr-BE"/>
        </w:rPr>
        <w:t>Les Bilans et comptes financiers des 3 dernières années</w:t>
      </w:r>
    </w:p>
    <w:p w14:paraId="3992328E" w14:textId="629ADA7A" w:rsidR="007A7C0D" w:rsidRPr="00F80963" w:rsidRDefault="00000000" w:rsidP="00F80963">
      <w:pPr>
        <w:pStyle w:val="Paragraphedeliste"/>
        <w:numPr>
          <w:ilvl w:val="0"/>
          <w:numId w:val="4"/>
        </w:numPr>
      </w:pPr>
      <w:r w:rsidRPr="00F80963">
        <w:rPr>
          <w:lang w:val="fr-BE"/>
        </w:rPr>
        <w:t xml:space="preserve">Un certificat de non-faillite / attestation </w:t>
      </w:r>
      <w:r>
        <w:rPr>
          <w:lang w:val="fr-BE"/>
        </w:rPr>
        <w:t>de régularité fiscale</w:t>
      </w:r>
    </w:p>
    <w:p w14:paraId="7BA47BA7" w14:textId="77777777" w:rsidR="00F80963" w:rsidRPr="00F80963" w:rsidRDefault="00F80963" w:rsidP="00F80963">
      <w:pPr>
        <w:pStyle w:val="Paragraphedeliste"/>
      </w:pPr>
    </w:p>
    <w:p w14:paraId="38AA5744" w14:textId="77777777" w:rsidR="007A7C0D" w:rsidRDefault="007A7C0D">
      <w:pPr>
        <w:pStyle w:val="Paragraphedeliste"/>
        <w:rPr>
          <w:b/>
          <w:bCs/>
          <w:lang w:val="fr-BE"/>
        </w:rPr>
      </w:pPr>
    </w:p>
    <w:p w14:paraId="79E291D5" w14:textId="77777777" w:rsidR="007A7C0D" w:rsidRDefault="00000000">
      <w:pPr>
        <w:pStyle w:val="Paragraphedeliste"/>
        <w:numPr>
          <w:ilvl w:val="0"/>
          <w:numId w:val="1"/>
        </w:numPr>
        <w:rPr>
          <w:b/>
          <w:bCs/>
          <w:lang w:val="fr-BE"/>
        </w:rPr>
      </w:pPr>
      <w:r>
        <w:rPr>
          <w:b/>
          <w:bCs/>
          <w:lang w:val="fr-BE"/>
        </w:rPr>
        <w:t>Soumission des offres</w:t>
      </w:r>
    </w:p>
    <w:p w14:paraId="0401992F" w14:textId="77777777" w:rsidR="007A7C0D" w:rsidRDefault="00000000">
      <w:pPr>
        <w:jc w:val="both"/>
        <w:rPr>
          <w:lang w:val="fr-BE"/>
        </w:rPr>
      </w:pPr>
      <w:r>
        <w:rPr>
          <w:lang w:val="fr-BE"/>
        </w:rPr>
        <w:lastRenderedPageBreak/>
        <w:t xml:space="preserve">Une offre reçue après l’heure limite de réception des offres sera rejetée. Le reçu de soumission fourni par le pouvoir adjudicateur avec la date et l’heure officielles de réception de la soumission constitue la preuve de la conformité avec l’heure limite de réception des offres.   </w:t>
      </w:r>
    </w:p>
    <w:p w14:paraId="4C5E5CD7" w14:textId="77777777" w:rsidR="007A7C0D" w:rsidRDefault="00000000">
      <w:pPr>
        <w:jc w:val="both"/>
        <w:rPr>
          <w:lang w:val="fr-BE"/>
        </w:rPr>
      </w:pPr>
      <w:r>
        <w:rPr>
          <w:lang w:val="fr-BE"/>
        </w:rPr>
        <w:t>Les soumissionnaires doivent s’assurer que leurs offres soumises comportent toutes les informations et tous les documents exigés par le pouvoir adjudicateur au moment de la soumission, tel que précisé dans le présent document.</w:t>
      </w:r>
    </w:p>
    <w:p w14:paraId="5B1C89DB" w14:textId="77777777" w:rsidR="007A7C0D" w:rsidRDefault="00000000">
      <w:pPr>
        <w:jc w:val="both"/>
        <w:rPr>
          <w:lang w:val="fr-BE"/>
        </w:rPr>
      </w:pPr>
      <w:r>
        <w:rPr>
          <w:lang w:val="fr-BE"/>
        </w:rPr>
        <w:t>L’offre complète doit être présentée sous la forme d’un original, portant clairement la mention « Original », et de 2 copies, portant clairement la mention « Copie ». En cas de divergence, l’original prévaut.</w:t>
      </w:r>
    </w:p>
    <w:p w14:paraId="70E18A05" w14:textId="5BEAAC9C" w:rsidR="007A7C0D" w:rsidRDefault="00000000">
      <w:pPr>
        <w:jc w:val="both"/>
      </w:pPr>
      <w:r>
        <w:rPr>
          <w:color w:val="FF0000"/>
          <w:lang w:val="fr-BE"/>
        </w:rPr>
        <w:t xml:space="preserve">Toutes les offres doivent être envoyées au pouvoir adjudicateur </w:t>
      </w:r>
      <w:r w:rsidR="00253FDB">
        <w:rPr>
          <w:color w:val="FF0000"/>
          <w:lang w:val="fr-BE"/>
        </w:rPr>
        <w:t>à</w:t>
      </w:r>
      <w:r>
        <w:rPr>
          <w:color w:val="FF0000"/>
          <w:lang w:val="fr-BE"/>
        </w:rPr>
        <w:t xml:space="preserve"> la date limite spécifiée supra, </w:t>
      </w:r>
      <w:r>
        <w:rPr>
          <w:b/>
          <w:bCs/>
          <w:color w:val="FF0000"/>
          <w:lang w:val="fr-BE"/>
        </w:rPr>
        <w:t>le lundi 1</w:t>
      </w:r>
      <w:r w:rsidR="00253FDB">
        <w:rPr>
          <w:b/>
          <w:bCs/>
          <w:color w:val="FF0000"/>
          <w:lang w:val="fr-BE"/>
        </w:rPr>
        <w:t>5</w:t>
      </w:r>
      <w:r>
        <w:rPr>
          <w:b/>
          <w:bCs/>
          <w:color w:val="FF0000"/>
          <w:lang w:val="fr-BE"/>
        </w:rPr>
        <w:t xml:space="preserve"> mai à </w:t>
      </w:r>
      <w:r w:rsidR="00253FDB">
        <w:rPr>
          <w:b/>
          <w:bCs/>
          <w:color w:val="FF0000"/>
          <w:lang w:val="fr-BE"/>
        </w:rPr>
        <w:t>16:</w:t>
      </w:r>
      <w:r>
        <w:rPr>
          <w:b/>
          <w:bCs/>
          <w:color w:val="FF0000"/>
          <w:lang w:val="fr-BE"/>
        </w:rPr>
        <w:t>00.</w:t>
      </w:r>
    </w:p>
    <w:p w14:paraId="1778DE80" w14:textId="77777777" w:rsidR="007A7C0D" w:rsidRDefault="00000000">
      <w:pPr>
        <w:jc w:val="both"/>
        <w:rPr>
          <w:lang w:val="fr-BE"/>
        </w:rPr>
      </w:pPr>
      <w:r>
        <w:rPr>
          <w:lang w:val="fr-BE"/>
        </w:rPr>
        <w:t xml:space="preserve">Les participants peuvent soumettre leur offre : </w:t>
      </w:r>
    </w:p>
    <w:p w14:paraId="1CAE3DB9" w14:textId="77777777" w:rsidR="00253FDB" w:rsidRDefault="00253FDB">
      <w:pPr>
        <w:pStyle w:val="Paragraphedeliste"/>
        <w:numPr>
          <w:ilvl w:val="0"/>
          <w:numId w:val="5"/>
        </w:numPr>
        <w:jc w:val="both"/>
        <w:rPr>
          <w:lang w:val="fr-BE"/>
        </w:rPr>
      </w:pPr>
      <w:r>
        <w:rPr>
          <w:lang w:val="fr-BE"/>
        </w:rPr>
        <w:t xml:space="preserve">Soit par la poste ou par service de messagerie, auxquels cas le cachet de la poste ou la date du récépissé de dépôt fait foi. </w:t>
      </w:r>
    </w:p>
    <w:p w14:paraId="4E96BB92" w14:textId="77777777" w:rsidR="00253FDB" w:rsidRPr="00253FDB" w:rsidRDefault="00253FDB" w:rsidP="00253FDB">
      <w:pPr>
        <w:pStyle w:val="Paragraphedeliste"/>
        <w:numPr>
          <w:ilvl w:val="0"/>
          <w:numId w:val="5"/>
        </w:numPr>
        <w:jc w:val="both"/>
      </w:pPr>
      <w:r w:rsidRPr="00253FDB">
        <w:rPr>
          <w:lang w:val="fr-BE"/>
        </w:rPr>
        <w:t>Soit via courrier électronique à l’adresse suivante :</w:t>
      </w:r>
      <w:r>
        <w:rPr>
          <w:lang w:val="fr-BE"/>
        </w:rPr>
        <w:t xml:space="preserve"> </w:t>
      </w:r>
      <w:hyperlink r:id="rId11" w:history="1">
        <w:r w:rsidRPr="00253FDB">
          <w:rPr>
            <w:rStyle w:val="Lienhypertexte"/>
            <w:lang w:val="fr-BE"/>
          </w:rPr>
          <w:t>mainghazal2000@yahoo.fr</w:t>
        </w:r>
      </w:hyperlink>
      <w:r w:rsidRPr="00253FDB">
        <w:rPr>
          <w:lang w:val="fr-BE"/>
        </w:rPr>
        <w:t xml:space="preserve"> </w:t>
      </w:r>
    </w:p>
    <w:p w14:paraId="2739D42B" w14:textId="1E969C82" w:rsidR="007A7C0D" w:rsidRPr="00253FDB" w:rsidRDefault="00253FDB" w:rsidP="00253FDB">
      <w:pPr>
        <w:pStyle w:val="Paragraphedeliste"/>
        <w:numPr>
          <w:ilvl w:val="0"/>
          <w:numId w:val="5"/>
        </w:numPr>
        <w:jc w:val="both"/>
      </w:pPr>
      <w:r>
        <w:rPr>
          <w:lang w:val="fr-BE"/>
        </w:rPr>
        <w:t>S</w:t>
      </w:r>
      <w:r w:rsidRPr="00253FDB">
        <w:rPr>
          <w:lang w:val="fr-BE"/>
        </w:rPr>
        <w:t>oit en main propre dans les locaux du pouvoir adjudicateur directement par le participant en personne ou par un mandataire, auquel cas l’accusé de réception fait foi.  Si les offres sont remises en main propre, elles doivent être remises à l’adresse suivante :</w:t>
      </w:r>
    </w:p>
    <w:p w14:paraId="708D4D82" w14:textId="1EA8618E" w:rsidR="007A7C0D" w:rsidRDefault="00000000">
      <w:pPr>
        <w:tabs>
          <w:tab w:val="center" w:pos="4536"/>
        </w:tabs>
        <w:jc w:val="both"/>
        <w:rPr>
          <w:u w:val="single"/>
          <w:lang w:val="fr-BE"/>
        </w:rPr>
      </w:pPr>
      <w:r w:rsidRPr="00253FDB">
        <w:rPr>
          <w:u w:val="single"/>
          <w:lang w:val="fr-BE"/>
        </w:rPr>
        <w:t xml:space="preserve">Centre social pour la Femme BD ALLAL EL FASSI DHAR LAMHALLA – LAZARET </w:t>
      </w:r>
      <w:r w:rsidR="00253FDB">
        <w:rPr>
          <w:u w:val="single"/>
          <w:lang w:val="fr-BE"/>
        </w:rPr>
        <w:t xml:space="preserve">/ Oujda – Maroc </w:t>
      </w:r>
    </w:p>
    <w:p w14:paraId="47995483" w14:textId="562926D2" w:rsidR="00253FDB" w:rsidRPr="00253FDB" w:rsidRDefault="00253FDB" w:rsidP="00253FDB">
      <w:pPr>
        <w:tabs>
          <w:tab w:val="center" w:pos="4536"/>
        </w:tabs>
        <w:jc w:val="center"/>
        <w:rPr>
          <w:lang w:val="fr-BE"/>
        </w:rPr>
      </w:pPr>
      <w:r w:rsidRPr="00253FDB">
        <w:rPr>
          <w:lang w:val="fr-BE"/>
        </w:rPr>
        <w:t>Horaire de réception : 9h – 16h</w:t>
      </w:r>
    </w:p>
    <w:p w14:paraId="77E376E6" w14:textId="77777777" w:rsidR="007A7C0D" w:rsidRDefault="00000000">
      <w:pPr>
        <w:jc w:val="both"/>
        <w:rPr>
          <w:lang w:val="fr-BE"/>
        </w:rPr>
      </w:pPr>
      <w:r>
        <w:rPr>
          <w:lang w:val="fr-BE"/>
        </w:rPr>
        <w:t xml:space="preserve">Chaque offre, ses annexes, ainsi que toutes pièces justificatives </w:t>
      </w:r>
      <w:r w:rsidRPr="00253FDB">
        <w:rPr>
          <w:b/>
          <w:bCs/>
          <w:lang w:val="fr-BE"/>
        </w:rPr>
        <w:t>doivent être présentées sous enveloppe scellée</w:t>
      </w:r>
      <w:r>
        <w:rPr>
          <w:lang w:val="fr-BE"/>
        </w:rPr>
        <w:t xml:space="preserve"> comportant uniquement :</w:t>
      </w:r>
    </w:p>
    <w:p w14:paraId="6C554D5D" w14:textId="77777777" w:rsidR="007A7C0D" w:rsidRDefault="00000000">
      <w:pPr>
        <w:jc w:val="both"/>
        <w:rPr>
          <w:lang w:val="fr-BE"/>
        </w:rPr>
      </w:pPr>
      <w:r>
        <w:rPr>
          <w:lang w:val="fr-BE"/>
        </w:rPr>
        <w:t>(a)</w:t>
      </w:r>
      <w:r>
        <w:rPr>
          <w:lang w:val="fr-BE"/>
        </w:rPr>
        <w:tab/>
        <w:t>l’adresse indiquée ci-dessus ;</w:t>
      </w:r>
    </w:p>
    <w:p w14:paraId="70581EFA" w14:textId="7E2A13A7" w:rsidR="00253FDB" w:rsidRDefault="00000000" w:rsidP="00253FDB">
      <w:pPr>
        <w:jc w:val="both"/>
        <w:rPr>
          <w:lang w:val="fr-BE"/>
        </w:rPr>
      </w:pPr>
      <w:r>
        <w:rPr>
          <w:lang w:val="fr-BE"/>
        </w:rPr>
        <w:t>(b)</w:t>
      </w:r>
      <w:r>
        <w:rPr>
          <w:lang w:val="fr-BE"/>
        </w:rPr>
        <w:tab/>
        <w:t>l’intitulé du présent appel d’offres ;</w:t>
      </w:r>
    </w:p>
    <w:p w14:paraId="4F60407A" w14:textId="77777777" w:rsidR="00253FDB" w:rsidRDefault="00253FDB" w:rsidP="00253FDB">
      <w:pPr>
        <w:tabs>
          <w:tab w:val="left" w:pos="708"/>
          <w:tab w:val="left" w:pos="1416"/>
          <w:tab w:val="left" w:pos="2124"/>
          <w:tab w:val="left" w:pos="2832"/>
          <w:tab w:val="left" w:pos="3540"/>
          <w:tab w:val="left" w:pos="4248"/>
          <w:tab w:val="left" w:pos="4956"/>
          <w:tab w:val="left" w:pos="5664"/>
          <w:tab w:val="left" w:pos="6372"/>
          <w:tab w:val="left" w:pos="7080"/>
          <w:tab w:val="left" w:pos="7875"/>
        </w:tabs>
        <w:jc w:val="both"/>
        <w:rPr>
          <w:lang w:val="fr-BE"/>
        </w:rPr>
      </w:pPr>
      <w:r>
        <w:rPr>
          <w:lang w:val="fr-BE"/>
        </w:rPr>
        <w:t xml:space="preserve">(c) </w:t>
      </w:r>
      <w:r>
        <w:rPr>
          <w:lang w:val="fr-BE"/>
        </w:rPr>
        <w:tab/>
        <w:t>la mention « À ne pas ouvrir avant la séance d’ouverture des offres » ;</w:t>
      </w:r>
    </w:p>
    <w:p w14:paraId="6C17A862" w14:textId="1B26F5CA" w:rsidR="007A7C0D" w:rsidRDefault="00000000" w:rsidP="00253FDB">
      <w:pPr>
        <w:tabs>
          <w:tab w:val="left" w:pos="708"/>
          <w:tab w:val="left" w:pos="1416"/>
          <w:tab w:val="left" w:pos="2124"/>
          <w:tab w:val="left" w:pos="2832"/>
          <w:tab w:val="left" w:pos="3540"/>
          <w:tab w:val="left" w:pos="4248"/>
          <w:tab w:val="left" w:pos="4956"/>
          <w:tab w:val="left" w:pos="5664"/>
          <w:tab w:val="left" w:pos="6372"/>
          <w:tab w:val="left" w:pos="7080"/>
          <w:tab w:val="left" w:pos="7875"/>
        </w:tabs>
        <w:jc w:val="both"/>
        <w:rPr>
          <w:lang w:val="fr-BE"/>
        </w:rPr>
      </w:pPr>
      <w:r>
        <w:rPr>
          <w:lang w:val="fr-BE"/>
        </w:rPr>
        <w:t>(d)</w:t>
      </w:r>
      <w:r>
        <w:rPr>
          <w:lang w:val="fr-BE"/>
        </w:rPr>
        <w:tab/>
      </w:r>
      <w:r w:rsidR="00253FDB">
        <w:rPr>
          <w:lang w:val="fr-BE"/>
        </w:rPr>
        <w:t xml:space="preserve">adresse électronique/Email </w:t>
      </w:r>
    </w:p>
    <w:p w14:paraId="62A3AB70" w14:textId="77777777" w:rsidR="007A7C0D" w:rsidRDefault="00000000">
      <w:pPr>
        <w:jc w:val="both"/>
        <w:rPr>
          <w:lang w:val="fr-BE"/>
        </w:rPr>
      </w:pPr>
      <w:r>
        <w:rPr>
          <w:lang w:val="fr-BE"/>
        </w:rPr>
        <w:t>(e)</w:t>
      </w:r>
      <w:r>
        <w:rPr>
          <w:lang w:val="fr-BE"/>
        </w:rPr>
        <w:tab/>
        <w:t>le nom du soumissionnaire.</w:t>
      </w:r>
    </w:p>
    <w:p w14:paraId="17EF4F5D" w14:textId="77777777" w:rsidR="00253FDB" w:rsidRDefault="00253FDB">
      <w:pPr>
        <w:jc w:val="both"/>
        <w:rPr>
          <w:lang w:val="fr-BE"/>
        </w:rPr>
      </w:pPr>
    </w:p>
    <w:p w14:paraId="3BF4E0FF" w14:textId="77777777" w:rsidR="007A7C0D" w:rsidRDefault="00000000">
      <w:pPr>
        <w:jc w:val="both"/>
        <w:rPr>
          <w:lang w:val="fr-BE"/>
        </w:rPr>
      </w:pPr>
      <w:r>
        <w:rPr>
          <w:lang w:val="fr-BE"/>
        </w:rPr>
        <w:t>Le pouvoir adjudicateur peut, à sa discrétion, repousser la date limite de soumission des offres au moyen d’une modification. Dans ce cas, tous les droits et obligations du pouvoir adjudicateur et du soumissionnaire qui se réfèrent à la date initialement indiquée dans l’avis de marché devront se comprendre comme se référant à la nouvelle date limite de soumission.</w:t>
      </w:r>
    </w:p>
    <w:p w14:paraId="3C687366" w14:textId="77777777" w:rsidR="007A7C0D" w:rsidRDefault="00000000">
      <w:pPr>
        <w:jc w:val="both"/>
        <w:rPr>
          <w:lang w:val="fr-BE"/>
        </w:rPr>
      </w:pPr>
      <w:r>
        <w:rPr>
          <w:lang w:val="fr-BE"/>
        </w:rPr>
        <w:t xml:space="preserve">Toutes les offres soumises après la date limite de soumission des offres indiquée dans l’avis de marché ou dans les présentes instructions seront conservées par le pouvoir adjudicateur. </w:t>
      </w:r>
    </w:p>
    <w:p w14:paraId="0E1FE4F4" w14:textId="77777777" w:rsidR="007A7C0D" w:rsidRDefault="00000000">
      <w:pPr>
        <w:jc w:val="both"/>
        <w:rPr>
          <w:lang w:val="fr-BE"/>
        </w:rPr>
      </w:pPr>
      <w:r>
        <w:rPr>
          <w:lang w:val="fr-BE"/>
        </w:rPr>
        <w:t>Aucune responsabilité ne peut être assumée pour la délivrance tardive des offres. Les offres tardives seront rejetées et ne seront pas évaluées.</w:t>
      </w:r>
    </w:p>
    <w:p w14:paraId="789F1065" w14:textId="77777777" w:rsidR="007A7C0D" w:rsidRDefault="007A7C0D">
      <w:pPr>
        <w:jc w:val="both"/>
        <w:rPr>
          <w:lang w:val="fr-BE"/>
        </w:rPr>
      </w:pPr>
    </w:p>
    <w:p w14:paraId="7132B275" w14:textId="77777777" w:rsidR="00253FDB" w:rsidRDefault="00253FDB">
      <w:pPr>
        <w:jc w:val="both"/>
        <w:rPr>
          <w:lang w:val="fr-BE"/>
        </w:rPr>
      </w:pPr>
    </w:p>
    <w:p w14:paraId="0944F5E5" w14:textId="77777777" w:rsidR="007A7C0D" w:rsidRDefault="00000000">
      <w:pPr>
        <w:pStyle w:val="Paragraphedeliste"/>
        <w:numPr>
          <w:ilvl w:val="0"/>
          <w:numId w:val="1"/>
        </w:numPr>
        <w:rPr>
          <w:b/>
          <w:bCs/>
          <w:lang w:val="fr-BE"/>
        </w:rPr>
      </w:pPr>
      <w:r>
        <w:rPr>
          <w:b/>
          <w:bCs/>
          <w:lang w:val="fr-BE"/>
        </w:rPr>
        <w:lastRenderedPageBreak/>
        <w:t>Evaluation des offres</w:t>
      </w:r>
    </w:p>
    <w:p w14:paraId="359A07C4" w14:textId="77777777" w:rsidR="007A7C0D" w:rsidRDefault="00000000">
      <w:pPr>
        <w:jc w:val="both"/>
      </w:pPr>
      <w:r>
        <w:t>Le pouvoir adjudicateur se réserve le droit de demander au soumissionnaire des clarifications sur tout point de son offre que le comité d’évaluation jugera nécessaires à son évaluation. Les demandes de clarifications et les réponses doivent être faites par écrit. Elles ne peuvent en aucun cas viser à modifier ou changer le montant ou le contenu de l’offre, sauf pour corriger des erreurs arithmétiques découvertes par le comité d’évaluation lors de l’analyse des offres.</w:t>
      </w:r>
    </w:p>
    <w:p w14:paraId="7128BF2B" w14:textId="77777777" w:rsidR="007A7C0D" w:rsidRDefault="00000000">
      <w:pPr>
        <w:jc w:val="both"/>
      </w:pPr>
      <w:r>
        <w:t>Le pouvoir adjudicateur se réserve le droit de vérifier les informations fournies par le soumissionnaire si le comité d’évaluation le juge nécessaire.</w:t>
      </w:r>
    </w:p>
    <w:p w14:paraId="433AD413" w14:textId="77777777" w:rsidR="007A7C0D" w:rsidRDefault="00000000">
      <w:pPr>
        <w:rPr>
          <w:b/>
          <w:bCs/>
        </w:rPr>
      </w:pPr>
      <w:r>
        <w:rPr>
          <w:b/>
          <w:bCs/>
        </w:rPr>
        <w:t>Examen de la conformité administrative des offres</w:t>
      </w:r>
    </w:p>
    <w:p w14:paraId="42E6B5B1" w14:textId="77777777" w:rsidR="007A7C0D" w:rsidRDefault="00000000">
      <w:pPr>
        <w:jc w:val="both"/>
      </w:pPr>
      <w:r>
        <w:t>Cette phase a pour objet de vérifier si l’offre est conforme, quant au fond, aux exigences du dossier d’appel d’offres. Une offre est réputée conforme lorsqu’elle respecte toutes les conditions, modalités et spécifications contenues dans le dossier d’appel d’offres, sans s’en écarter ni y ajouter des restrictions substantielles.</w:t>
      </w:r>
    </w:p>
    <w:p w14:paraId="27D52A82" w14:textId="77777777" w:rsidR="007A7C0D" w:rsidRDefault="007A7C0D">
      <w:pPr>
        <w:rPr>
          <w:b/>
          <w:bCs/>
        </w:rPr>
      </w:pPr>
    </w:p>
    <w:p w14:paraId="37CC8396" w14:textId="77777777" w:rsidR="007A7C0D" w:rsidRDefault="00000000">
      <w:pPr>
        <w:rPr>
          <w:b/>
          <w:bCs/>
        </w:rPr>
      </w:pPr>
      <w:r>
        <w:rPr>
          <w:b/>
          <w:bCs/>
        </w:rPr>
        <w:t>Évaluation technique</w:t>
      </w:r>
    </w:p>
    <w:p w14:paraId="3BE0DA79" w14:textId="77777777" w:rsidR="007A7C0D" w:rsidRDefault="00000000">
      <w:pPr>
        <w:jc w:val="both"/>
      </w:pPr>
      <w:r>
        <w:t xml:space="preserve">Le comité d’évaluation doit évaluer les seules offres jugées substantiellement conformes au titre du point 3. </w:t>
      </w:r>
    </w:p>
    <w:p w14:paraId="3C2A2AA6" w14:textId="77777777" w:rsidR="007A7C0D" w:rsidRDefault="00000000">
      <w:pPr>
        <w:jc w:val="both"/>
      </w:pPr>
      <w:r>
        <w:t>À ce stade de la procédure d’évaluation, le comité d’évaluation analysera la conformité technique de chaque offre en fonction des spécifications techniques et classera les offres en deux catégories : conformes aux exigences techniques et non conformes aux exigences techniques.</w:t>
      </w:r>
    </w:p>
    <w:p w14:paraId="38B30237" w14:textId="77777777" w:rsidR="007A7C0D" w:rsidRDefault="007A7C0D">
      <w:pPr>
        <w:jc w:val="both"/>
        <w:rPr>
          <w:b/>
          <w:bCs/>
        </w:rPr>
      </w:pPr>
    </w:p>
    <w:p w14:paraId="4668BEA3" w14:textId="77777777" w:rsidR="007A7C0D" w:rsidRDefault="00000000">
      <w:pPr>
        <w:rPr>
          <w:b/>
          <w:bCs/>
        </w:rPr>
      </w:pPr>
      <w:r>
        <w:rPr>
          <w:b/>
          <w:bCs/>
        </w:rPr>
        <w:t>Évaluation financière</w:t>
      </w:r>
    </w:p>
    <w:p w14:paraId="3B665812" w14:textId="77777777" w:rsidR="007A7C0D" w:rsidRDefault="00000000">
      <w:pPr>
        <w:jc w:val="both"/>
      </w:pPr>
      <w:r>
        <w:t>Au terme de l’évaluation technique, le comité d’évaluation vérifie que les propositions financières ne comportent pas d’erreurs arithmétiques. L’évaluation financière devra déterminer la meilleure offre financière.</w:t>
      </w:r>
    </w:p>
    <w:p w14:paraId="604D70BF" w14:textId="77777777" w:rsidR="007A7C0D" w:rsidRDefault="007A7C0D">
      <w:pPr>
        <w:jc w:val="both"/>
      </w:pPr>
    </w:p>
    <w:p w14:paraId="15EB30CC" w14:textId="77777777" w:rsidR="007A7C0D" w:rsidRDefault="00000000">
      <w:pPr>
        <w:pStyle w:val="Paragraphedeliste"/>
        <w:numPr>
          <w:ilvl w:val="0"/>
          <w:numId w:val="1"/>
        </w:numPr>
        <w:jc w:val="both"/>
      </w:pPr>
      <w:r>
        <w:rPr>
          <w:b/>
          <w:bCs/>
          <w:lang w:val="fr-BE"/>
        </w:rPr>
        <w:t xml:space="preserve">Attribution du marché et signature du contrat </w:t>
      </w:r>
    </w:p>
    <w:p w14:paraId="7ABBBAAD" w14:textId="77777777" w:rsidR="007A7C0D" w:rsidRDefault="00000000">
      <w:pPr>
        <w:jc w:val="both"/>
        <w:rPr>
          <w:b/>
          <w:bCs/>
        </w:rPr>
      </w:pPr>
      <w:r>
        <w:rPr>
          <w:b/>
          <w:bCs/>
        </w:rPr>
        <w:t>Critères d’attribution</w:t>
      </w:r>
    </w:p>
    <w:p w14:paraId="0EF58460" w14:textId="77777777" w:rsidR="007A7C0D" w:rsidRDefault="00000000">
      <w:pPr>
        <w:jc w:val="both"/>
      </w:pPr>
      <w:r>
        <w:t>L’offre économiquement la plus avantageuse est l’offre conforme aux exigences techniques proposant le prix le moins élevé.</w:t>
      </w:r>
    </w:p>
    <w:p w14:paraId="1A395EBC" w14:textId="77777777" w:rsidR="007A7C0D" w:rsidRDefault="00000000">
      <w:pPr>
        <w:jc w:val="both"/>
        <w:rPr>
          <w:b/>
          <w:bCs/>
        </w:rPr>
      </w:pPr>
      <w:r>
        <w:rPr>
          <w:b/>
          <w:bCs/>
        </w:rPr>
        <w:t>Notification de l’attribution</w:t>
      </w:r>
    </w:p>
    <w:p w14:paraId="25F410CA" w14:textId="77777777" w:rsidR="007A7C0D" w:rsidRDefault="00000000">
      <w:pPr>
        <w:jc w:val="both"/>
      </w:pPr>
      <w:r>
        <w:t xml:space="preserve">Avant l’expiration de la période de validité des offres, le pouvoir adjudicateur notifiera à l’attributaire par écrit que son offre a été sélectionnée et attirera son attention sur toute erreur arithmétique corrigée lors de l’évaluation. </w:t>
      </w:r>
    </w:p>
    <w:p w14:paraId="1F34DB98" w14:textId="77777777" w:rsidR="007A7C0D" w:rsidRDefault="00000000">
      <w:pPr>
        <w:jc w:val="both"/>
      </w:pPr>
      <w:r>
        <w:t xml:space="preserve">Le pouvoir adjudicateur informe tous les soumissionnaires simultanément et individuellement de la décision d’attribution. </w:t>
      </w:r>
    </w:p>
    <w:p w14:paraId="49D91143" w14:textId="77777777" w:rsidR="007A7C0D" w:rsidRDefault="00000000">
      <w:pPr>
        <w:jc w:val="both"/>
      </w:pPr>
      <w:r>
        <w:t xml:space="preserve">En présentant son offre, le soumissionnaire accepte d’être informé des résultats de la procédure par voie électronique. Cette information est réputée reçue à la date à laquelle le pouvoir adjudicateur l’envoie à l’adresse électronique indiquée dans l’offre. </w:t>
      </w:r>
    </w:p>
    <w:p w14:paraId="27781647" w14:textId="77777777" w:rsidR="007A7C0D" w:rsidRDefault="007A7C0D">
      <w:pPr>
        <w:jc w:val="both"/>
      </w:pPr>
    </w:p>
    <w:p w14:paraId="44FB5A97" w14:textId="77777777" w:rsidR="007A7C0D" w:rsidRDefault="00000000">
      <w:pPr>
        <w:jc w:val="both"/>
        <w:rPr>
          <w:b/>
          <w:bCs/>
        </w:rPr>
      </w:pPr>
      <w:r>
        <w:rPr>
          <w:b/>
          <w:bCs/>
        </w:rPr>
        <w:t>Signature du contrat</w:t>
      </w:r>
    </w:p>
    <w:p w14:paraId="79CF208E" w14:textId="77777777" w:rsidR="007A7C0D" w:rsidRDefault="00000000">
      <w:pPr>
        <w:jc w:val="both"/>
      </w:pPr>
      <w:r>
        <w:t>Dans les 7 jours suivant la réception du contrat signé, l’autre partie contresigne, date et retourne celui-ci. Le cas échéant, le contractant doit, avec le retour du contrat contresigné, fournir au pouvoir adjudicateur une garantie de bonne exécution.  Par la signature du contrat, l’attributaire devient le contractant et le contrat entre en vigueur.</w:t>
      </w:r>
    </w:p>
    <w:p w14:paraId="1A20CF4A" w14:textId="77777777" w:rsidR="007A7C0D" w:rsidRDefault="007A7C0D">
      <w:pPr>
        <w:jc w:val="both"/>
      </w:pPr>
    </w:p>
    <w:p w14:paraId="77BD0C57" w14:textId="77777777" w:rsidR="007A7C0D" w:rsidRDefault="00000000">
      <w:pPr>
        <w:pStyle w:val="Paragraphedeliste"/>
        <w:numPr>
          <w:ilvl w:val="0"/>
          <w:numId w:val="1"/>
        </w:numPr>
        <w:jc w:val="both"/>
      </w:pPr>
      <w:bookmarkStart w:id="0" w:name="_Toc169721195"/>
      <w:bookmarkStart w:id="1" w:name="_Hlk183529288"/>
      <w:r>
        <w:rPr>
          <w:b/>
          <w:bCs/>
          <w:lang w:val="fr-BE"/>
        </w:rPr>
        <w:t>Annulation de l’appel d’offre</w:t>
      </w:r>
      <w:bookmarkEnd w:id="0"/>
      <w:r>
        <w:rPr>
          <w:b/>
          <w:bCs/>
          <w:lang w:val="fr-BE"/>
        </w:rPr>
        <w:t>s</w:t>
      </w:r>
    </w:p>
    <w:bookmarkEnd w:id="1"/>
    <w:p w14:paraId="2A8F6A3B" w14:textId="40B015A8" w:rsidR="007A7C0D" w:rsidRDefault="00000000">
      <w:pPr>
        <w:spacing w:after="0"/>
        <w:jc w:val="both"/>
      </w:pPr>
      <w:r>
        <w:t>En cas d’annulation de l’appel d’offres, les soumissionnaires sont avertis par le pouvoir adjudicateur.  L’annulation peut, par exemple, se produire dans les cas suivants</w:t>
      </w:r>
      <w:r w:rsidR="00253FDB">
        <w:t xml:space="preserve"> </w:t>
      </w:r>
      <w:r>
        <w:t>:</w:t>
      </w:r>
    </w:p>
    <w:p w14:paraId="5AEB2064" w14:textId="0FA32C0F" w:rsidR="007A7C0D" w:rsidRDefault="00253FDB">
      <w:pPr>
        <w:numPr>
          <w:ilvl w:val="0"/>
          <w:numId w:val="6"/>
        </w:numPr>
        <w:spacing w:after="0"/>
        <w:jc w:val="both"/>
      </w:pPr>
      <w:r>
        <w:t>Lorsque l’appel d’offres est infructueux, c’est-à-dire lorsqu’aucune offre méritant d’être retenue sur le plan qualitatif ou financier n’a été reçue ou lorsqu’il n’y a pas eu de réponse valable ;</w:t>
      </w:r>
    </w:p>
    <w:p w14:paraId="094676B2" w14:textId="7EC4A877" w:rsidR="007A7C0D" w:rsidRDefault="00253FDB">
      <w:pPr>
        <w:numPr>
          <w:ilvl w:val="0"/>
          <w:numId w:val="6"/>
        </w:numPr>
        <w:spacing w:after="0"/>
        <w:jc w:val="both"/>
      </w:pPr>
      <w:r>
        <w:t>Lorsque les paramètres techniques ou économiques du projet ont été fondamentalement modifiés ;</w:t>
      </w:r>
    </w:p>
    <w:p w14:paraId="6F444063" w14:textId="40691D9D" w:rsidR="007A7C0D" w:rsidRDefault="00253FDB">
      <w:pPr>
        <w:numPr>
          <w:ilvl w:val="0"/>
          <w:numId w:val="6"/>
        </w:numPr>
        <w:spacing w:after="0"/>
        <w:jc w:val="both"/>
      </w:pPr>
      <w:r>
        <w:t>Lorsque des circonstances exceptionnelles ou de force majeure rendent impossible la mise en œuvre normale du projet ;</w:t>
      </w:r>
    </w:p>
    <w:p w14:paraId="2866F8DF" w14:textId="04F1195F" w:rsidR="007A7C0D" w:rsidRDefault="00253FDB">
      <w:pPr>
        <w:numPr>
          <w:ilvl w:val="0"/>
          <w:numId w:val="6"/>
        </w:numPr>
        <w:spacing w:after="0"/>
        <w:jc w:val="both"/>
      </w:pPr>
      <w:r>
        <w:t>Lorsque toutes les offres conformes aux exigences techniques excèdent les ressources financières disponibles ;</w:t>
      </w:r>
    </w:p>
    <w:p w14:paraId="116653DD" w14:textId="2F7DB7FA" w:rsidR="007A7C0D" w:rsidRDefault="00253FDB">
      <w:pPr>
        <w:numPr>
          <w:ilvl w:val="0"/>
          <w:numId w:val="6"/>
        </w:numPr>
        <w:spacing w:after="0"/>
        <w:jc w:val="both"/>
      </w:pPr>
      <w:r>
        <w:t>Lorsqu’il y a eu des irrégularités dans la procédure, notamment lorsqu’elles ont empêché une concurrence loyale ;</w:t>
      </w:r>
    </w:p>
    <w:p w14:paraId="1DABF864" w14:textId="4B4D013D" w:rsidR="007A7C0D" w:rsidRDefault="00253FDB">
      <w:pPr>
        <w:numPr>
          <w:ilvl w:val="0"/>
          <w:numId w:val="6"/>
        </w:numPr>
        <w:spacing w:after="0"/>
        <w:jc w:val="both"/>
      </w:pPr>
      <w:r>
        <w:t>Lorsque l’attribution du marché ne respecte pas la bonne gestion financière, à savoir les principes d’économie, d’efficience et d’efficacité (par exemple le prix proposé par le soumissionnaire à qui le marché doit être attribué est objectivement disproportionné par rapport au prix du marché).</w:t>
      </w:r>
    </w:p>
    <w:p w14:paraId="6964C328" w14:textId="77777777" w:rsidR="007A7C0D" w:rsidRDefault="007A7C0D">
      <w:pPr>
        <w:spacing w:after="0"/>
        <w:jc w:val="both"/>
      </w:pPr>
    </w:p>
    <w:p w14:paraId="599FC386" w14:textId="77777777" w:rsidR="007A7C0D" w:rsidRDefault="00000000">
      <w:pPr>
        <w:spacing w:after="0"/>
        <w:jc w:val="both"/>
      </w:pPr>
      <w:r>
        <w:t>En aucun cas le pouvoir adjudicateur ne peut être redevable de dommages et intérêts, quelle qu’en soit la nature (en particulier les dommages pour manque à gagner), qui seraient liés d’une quelconque manière à l’annulation de l’appel d’offres, et ce même dans le cas où le pouvoir adjudicateur aurait été informé de la possibilité d’un préjudice. La publication d’un avis de marché n’engage nullement le pouvoir adjudicateur à mettre en œuvre le programme ou le projet annoncé.</w:t>
      </w:r>
    </w:p>
    <w:p w14:paraId="611CDE65" w14:textId="77777777" w:rsidR="007A7C0D" w:rsidRDefault="007A7C0D">
      <w:pPr>
        <w:jc w:val="both"/>
        <w:rPr>
          <w:b/>
        </w:rPr>
      </w:pPr>
      <w:bookmarkStart w:id="2" w:name="_Toc169721196"/>
      <w:bookmarkStart w:id="3" w:name="_Hlk183529301"/>
    </w:p>
    <w:p w14:paraId="000161CA" w14:textId="77777777" w:rsidR="007A7C0D" w:rsidRDefault="00000000">
      <w:pPr>
        <w:pStyle w:val="Paragraphedeliste"/>
        <w:numPr>
          <w:ilvl w:val="0"/>
          <w:numId w:val="1"/>
        </w:numPr>
        <w:jc w:val="both"/>
      </w:pPr>
      <w:r>
        <w:rPr>
          <w:b/>
          <w:bCs/>
          <w:lang w:val="fr-BE"/>
        </w:rPr>
        <w:t>Déontologie</w:t>
      </w:r>
      <w:r>
        <w:rPr>
          <w:b/>
        </w:rPr>
        <w:t>, valeurs et code de conduite</w:t>
      </w:r>
      <w:bookmarkEnd w:id="2"/>
      <w:bookmarkEnd w:id="3"/>
    </w:p>
    <w:p w14:paraId="50114212" w14:textId="77777777" w:rsidR="007A7C0D" w:rsidRDefault="00000000">
      <w:pPr>
        <w:jc w:val="both"/>
        <w:rPr>
          <w:b/>
          <w:bCs/>
        </w:rPr>
      </w:pPr>
      <w:r>
        <w:rPr>
          <w:b/>
          <w:bCs/>
        </w:rPr>
        <w:t>Absence de conflit d’intérêts et d’intérêts à caractère professionnel contradictoires</w:t>
      </w:r>
    </w:p>
    <w:p w14:paraId="41209584" w14:textId="77777777" w:rsidR="007A7C0D" w:rsidRDefault="00000000">
      <w:pPr>
        <w:jc w:val="both"/>
      </w:pPr>
      <w:r>
        <w:t>Le soumissionnaire ne peut avoir aucun intérêt à caractère professionnel contradictoire ni aucun conflit d’intérêts ou lien spécifique équivalent à ce sujet avec d’autres soumissionnaires ou d’autres parties au projet. Toute tentative d’un soumissionnaire visant à se procurer des informations confidentielles, à conclure des ententes illicites avec ses concurrents ou à influencer le comité d’évaluation ou le pouvoir adjudicateur au cours de la procédure d’examen, de clarification, d’évaluation et de comparaison des offres entraînera le rejet de son offre.</w:t>
      </w:r>
    </w:p>
    <w:p w14:paraId="1A14BCA7" w14:textId="77777777" w:rsidR="007A7C0D" w:rsidRDefault="00000000">
      <w:pPr>
        <w:jc w:val="both"/>
        <w:rPr>
          <w:b/>
          <w:bCs/>
        </w:rPr>
      </w:pPr>
      <w:r>
        <w:rPr>
          <w:b/>
          <w:bCs/>
        </w:rPr>
        <w:t xml:space="preserve">Respect des droits de l’homme ainsi que de la législation environnementale et des normes fondamentales en matière de travail </w:t>
      </w:r>
    </w:p>
    <w:p w14:paraId="28960206" w14:textId="77777777" w:rsidR="007A7C0D" w:rsidRDefault="00000000">
      <w:pPr>
        <w:jc w:val="both"/>
      </w:pPr>
      <w:r>
        <w:t xml:space="preserve">Le soumissionnaire et son personnel doivent respecter les droits de l’homme et les règles applicables en matière de protection des données. En particulier les soumissionnaires et les demandeurs qui se voient attribuer un marché ou une subvention respectent la législation environnementale et les normes fondamentales en matière de travail applicables, telles que définies dans les conventions pertinentes de l’Organisation internationale du travail (notamment les conventions sur la liberté </w:t>
      </w:r>
      <w:r>
        <w:lastRenderedPageBreak/>
        <w:t>syndicale et la négociation collective, sur l’élimination du travail forcé ou obligatoire et sur l’abolition du travail des enfants).</w:t>
      </w:r>
    </w:p>
    <w:p w14:paraId="1DD8723B" w14:textId="77777777" w:rsidR="007A7C0D" w:rsidRDefault="00000000">
      <w:pPr>
        <w:jc w:val="both"/>
      </w:pPr>
      <w:r>
        <w:t xml:space="preserve">Le soumissionnaire et son personnel doivent respecter les valeurs de l’association, telles que le respect de la dignité humaine, la liberté, la démocratie, l’égalité, l’état de droit et les droits de l’homme, y compris les droits des minorités. </w:t>
      </w:r>
    </w:p>
    <w:p w14:paraId="13A2F0F1" w14:textId="77777777" w:rsidR="007A7C0D" w:rsidRDefault="00000000">
      <w:pPr>
        <w:jc w:val="both"/>
        <w:rPr>
          <w:b/>
        </w:rPr>
      </w:pPr>
      <w:r>
        <w:rPr>
          <w:b/>
        </w:rPr>
        <w:t>Tolérance zéro pour l’exploitation, les abus et le harcèlement sexuels</w:t>
      </w:r>
    </w:p>
    <w:p w14:paraId="6D02072B" w14:textId="77777777" w:rsidR="007A7C0D" w:rsidRDefault="00000000">
      <w:pPr>
        <w:jc w:val="both"/>
      </w:pPr>
      <w:r>
        <w:t xml:space="preserve">OAG 2000 applique une politique de « tolérance zéro » en ce qui concerne l’ensemble des comportements fautifs ayant une incidence sur la crédibilité professionnelle du soumissionnaire. </w:t>
      </w:r>
    </w:p>
    <w:p w14:paraId="01D9F09D" w14:textId="77777777" w:rsidR="007A7C0D" w:rsidRDefault="00000000">
      <w:pPr>
        <w:jc w:val="both"/>
      </w:pPr>
      <w:r>
        <w:t xml:space="preserve">Sont interdits les châtiments corporels ou violences physiques, les menaces de violences physiques, les abus ou l’exploitation sexuels, le harcèlement et les violences verbales, ainsi que toutes les autres formes d’intimidation. </w:t>
      </w:r>
    </w:p>
    <w:p w14:paraId="20F07168" w14:textId="77777777" w:rsidR="007A7C0D" w:rsidRDefault="00000000">
      <w:pPr>
        <w:jc w:val="both"/>
        <w:rPr>
          <w:b/>
          <w:bCs/>
        </w:rPr>
      </w:pPr>
      <w:r>
        <w:rPr>
          <w:b/>
          <w:bCs/>
        </w:rPr>
        <w:t xml:space="preserve">Lutte contre la corruption </w:t>
      </w:r>
    </w:p>
    <w:p w14:paraId="433B695E" w14:textId="77777777" w:rsidR="007A7C0D" w:rsidRDefault="00000000">
      <w:pPr>
        <w:jc w:val="both"/>
      </w:pPr>
      <w:r>
        <w:t>Le soumissionnaire doit respecter les lois, règlements et codes de conduite applicables en matière de lutte contre la corruption. Le pouvoir adjudicateur se réserve le droit de suspendre ou d’annuler l’appel d’offres ou le contrat si des pratiques de corruption, de quelque nature qu’elles soient, sont découvertes à n’importe quel stade de la procédure d’attribution ou pendant l’exécution d’un contrat. Aux fins de la présente disposition, on entend par « pratique de corruption » toute offre de paiement illicite, de présent, de gratification ou de commission à quelque personne que ce soit à titre d’incitation ou de récompense pour qu’elle accomplisse ou s’abstienne d’accomplir des actes ayant trait à l’attribution d’un marché ou à l’exécution d’un contrat déjà conclu avec le pouvoir adjudicateur.</w:t>
      </w:r>
    </w:p>
    <w:p w14:paraId="594609AC" w14:textId="77777777" w:rsidR="007A7C0D" w:rsidRDefault="00000000">
      <w:pPr>
        <w:jc w:val="both"/>
        <w:rPr>
          <w:b/>
          <w:bCs/>
        </w:rPr>
      </w:pPr>
      <w:r>
        <w:rPr>
          <w:b/>
          <w:bCs/>
        </w:rPr>
        <w:t xml:space="preserve">Frais commerciaux extraordinaires </w:t>
      </w:r>
    </w:p>
    <w:p w14:paraId="6EEDF31C" w14:textId="77777777" w:rsidR="007A7C0D" w:rsidRDefault="00000000">
      <w:pPr>
        <w:jc w:val="both"/>
      </w:pPr>
      <w:r>
        <w:t>Toute offre sera rejetée ou tout contrat résilié dès lors qu’il sera avéré que l’attribution du marché ou son exécution aura donné lieu à des frais commerciaux extraordinaires. Les frais commerciaux extraordinaires concernent toute commission non mentionnée dans le marché principal ou qui ne résulte pas d’un contrat en bonne et due forme faisant référence à ce marché principal, toute commission qui ne rétribue aucun service légitime effectif, toute commission versée dans un paradis fiscal, toute commission versée à un destinataire non clairement identifié ou à une entreprise qui a toutes les apparences d’une société écran.</w:t>
      </w:r>
    </w:p>
    <w:p w14:paraId="39945B07" w14:textId="77777777" w:rsidR="007A7C0D" w:rsidRDefault="00000000">
      <w:pPr>
        <w:jc w:val="both"/>
        <w:rPr>
          <w:b/>
          <w:bCs/>
        </w:rPr>
      </w:pPr>
      <w:r>
        <w:rPr>
          <w:b/>
          <w:bCs/>
        </w:rPr>
        <w:t>Manquement aux obligations, irrégularités ou fraude</w:t>
      </w:r>
    </w:p>
    <w:p w14:paraId="0B74FE14" w14:textId="77777777" w:rsidR="007A7C0D" w:rsidRDefault="00000000">
      <w:pPr>
        <w:jc w:val="both"/>
      </w:pPr>
      <w:r>
        <w:t>Le pouvoir adjudicateur se réserve le droit de suspendre ou d’annuler la procédure lorsqu’il s’avère que la procédure d’attribution a été entachée d’un manquement aux obligations, d’irrégularités ou de fraude. Lorsqu’un manquement aux obligations, des irrégularités ou des fraudes sont découverts après l’attribution du marché, le pouvoir adjudicateur peut s’abstenir de conclure le contrat.</w:t>
      </w:r>
    </w:p>
    <w:p w14:paraId="2243F346" w14:textId="77777777" w:rsidR="007A7C0D" w:rsidRDefault="007A7C0D">
      <w:pPr>
        <w:jc w:val="both"/>
      </w:pPr>
    </w:p>
    <w:sectPr w:rsidR="007A7C0D">
      <w:headerReference w:type="default" r:id="rId12"/>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2D0BC" w14:textId="77777777" w:rsidR="0092121C" w:rsidRDefault="0092121C">
      <w:pPr>
        <w:spacing w:after="0"/>
      </w:pPr>
      <w:r>
        <w:separator/>
      </w:r>
    </w:p>
  </w:endnote>
  <w:endnote w:type="continuationSeparator" w:id="0">
    <w:p w14:paraId="7E2862EE" w14:textId="77777777" w:rsidR="0092121C" w:rsidRDefault="009212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4842B" w14:textId="77777777" w:rsidR="0092121C" w:rsidRDefault="0092121C">
      <w:pPr>
        <w:spacing w:after="0"/>
      </w:pPr>
      <w:r>
        <w:rPr>
          <w:color w:val="000000"/>
        </w:rPr>
        <w:separator/>
      </w:r>
    </w:p>
  </w:footnote>
  <w:footnote w:type="continuationSeparator" w:id="0">
    <w:p w14:paraId="0E7534C3" w14:textId="77777777" w:rsidR="0092121C" w:rsidRDefault="009212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3A508" w14:textId="77777777" w:rsidR="00A03668" w:rsidRDefault="00000000">
    <w:pPr>
      <w:pStyle w:val="En-tte"/>
      <w:jc w:val="center"/>
    </w:pPr>
    <w:r>
      <w:rPr>
        <w:noProof/>
      </w:rPr>
      <w:drawing>
        <wp:inline distT="0" distB="0" distL="0" distR="0" wp14:anchorId="127863AA" wp14:editId="0EA3A142">
          <wp:extent cx="1594485" cy="464103"/>
          <wp:effectExtent l="0" t="0" r="5715" b="0"/>
          <wp:docPr id="1472771927" name="Image 2" descr="Une image contenant texte, Police, logo, symbo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25233" cy="473053"/>
                  </a:xfrm>
                  <a:prstGeom prst="rect">
                    <a:avLst/>
                  </a:prstGeom>
                  <a:noFill/>
                  <a:ln>
                    <a:noFill/>
                    <a:prstDash/>
                  </a:ln>
                </pic:spPr>
              </pic:pic>
            </a:graphicData>
          </a:graphic>
        </wp:inline>
      </w:drawing>
    </w:r>
  </w:p>
  <w:p w14:paraId="179EE852" w14:textId="77777777" w:rsidR="00A03668" w:rsidRDefault="00A03668">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B0597"/>
    <w:multiLevelType w:val="multilevel"/>
    <w:tmpl w:val="3F7A93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006CCF"/>
    <w:multiLevelType w:val="multilevel"/>
    <w:tmpl w:val="2BD4C4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E83149"/>
    <w:multiLevelType w:val="multilevel"/>
    <w:tmpl w:val="ED06965A"/>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3" w15:restartNumberingAfterBreak="0">
    <w:nsid w:val="2D13720B"/>
    <w:multiLevelType w:val="multilevel"/>
    <w:tmpl w:val="D8D627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5801B4"/>
    <w:multiLevelType w:val="multilevel"/>
    <w:tmpl w:val="FA5E70E8"/>
    <w:lvl w:ilvl="0">
      <w:numFmt w:val="bullet"/>
      <w:lvlText w:val=""/>
      <w:lvlJc w:val="left"/>
      <w:pPr>
        <w:ind w:left="0" w:hanging="360"/>
      </w:pPr>
      <w:rPr>
        <w:rFonts w:ascii="Symbol" w:hAnsi="Symbol"/>
      </w:rPr>
    </w:lvl>
    <w:lvl w:ilvl="1">
      <w:numFmt w:val="bullet"/>
      <w:lvlText w:val="-"/>
      <w:lvlJc w:val="left"/>
      <w:pPr>
        <w:ind w:left="720" w:hanging="360"/>
      </w:pPr>
      <w:rPr>
        <w:rFonts w:ascii="Times New Roman" w:eastAsia="Times New Roman" w:hAnsi="Times New Roman" w:cs="Times New Roman"/>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5" w15:restartNumberingAfterBreak="0">
    <w:nsid w:val="71006BD9"/>
    <w:multiLevelType w:val="multilevel"/>
    <w:tmpl w:val="620E17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33C11B4"/>
    <w:multiLevelType w:val="hybridMultilevel"/>
    <w:tmpl w:val="072A197A"/>
    <w:lvl w:ilvl="0" w:tplc="90A0DAF8">
      <w:numFmt w:val="bullet"/>
      <w:lvlText w:val="-"/>
      <w:lvlJc w:val="left"/>
      <w:pPr>
        <w:ind w:left="720" w:hanging="360"/>
      </w:pPr>
      <w:rPr>
        <w:rFonts w:ascii="Aptos" w:eastAsia="Aptos" w:hAnsi="Apto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5881712">
    <w:abstractNumId w:val="3"/>
  </w:num>
  <w:num w:numId="2" w16cid:durableId="209267503">
    <w:abstractNumId w:val="0"/>
  </w:num>
  <w:num w:numId="3" w16cid:durableId="1326396741">
    <w:abstractNumId w:val="2"/>
  </w:num>
  <w:num w:numId="4" w16cid:durableId="1236665568">
    <w:abstractNumId w:val="5"/>
  </w:num>
  <w:num w:numId="5" w16cid:durableId="1834568844">
    <w:abstractNumId w:val="1"/>
  </w:num>
  <w:num w:numId="6" w16cid:durableId="2096245153">
    <w:abstractNumId w:val="4"/>
  </w:num>
  <w:num w:numId="7" w16cid:durableId="1025593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C0D"/>
    <w:rsid w:val="000458F1"/>
    <w:rsid w:val="002274DD"/>
    <w:rsid w:val="00253FDB"/>
    <w:rsid w:val="00290033"/>
    <w:rsid w:val="005E6D5D"/>
    <w:rsid w:val="007255E7"/>
    <w:rsid w:val="007A7C0D"/>
    <w:rsid w:val="00812024"/>
    <w:rsid w:val="0092121C"/>
    <w:rsid w:val="00A03668"/>
    <w:rsid w:val="00B810F8"/>
    <w:rsid w:val="00E30F33"/>
    <w:rsid w:val="00E52EA5"/>
    <w:rsid w:val="00ED73C0"/>
    <w:rsid w:val="00F809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28177"/>
  <w15:docId w15:val="{E1923927-341F-4663-A018-9087213D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rial"/>
        <w:sz w:val="22"/>
        <w:szCs w:val="22"/>
        <w:lang w:val="fr-BE"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fr-FR"/>
    </w:rPr>
  </w:style>
  <w:style w:type="paragraph" w:styleId="Titre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Titre7">
    <w:name w:val="heading 7"/>
    <w:basedOn w:val="Normal"/>
    <w:next w:val="Normal"/>
    <w:pPr>
      <w:keepNext/>
      <w:keepLines/>
      <w:spacing w:before="40" w:after="0"/>
      <w:outlineLvl w:val="6"/>
    </w:pPr>
    <w:rPr>
      <w:rFonts w:eastAsia="Yu Gothic Light" w:cs="Times New Roman"/>
      <w:color w:val="595959"/>
    </w:rPr>
  </w:style>
  <w:style w:type="paragraph" w:styleId="Titre8">
    <w:name w:val="heading 8"/>
    <w:basedOn w:val="Normal"/>
    <w:next w:val="Normal"/>
    <w:pPr>
      <w:keepNext/>
      <w:keepLines/>
      <w:spacing w:after="0"/>
      <w:outlineLvl w:val="7"/>
    </w:pPr>
    <w:rPr>
      <w:rFonts w:eastAsia="Yu Gothic Light" w:cs="Times New Roman"/>
      <w:i/>
      <w:iCs/>
      <w:color w:val="272727"/>
    </w:rPr>
  </w:style>
  <w:style w:type="paragraph" w:styleId="Titre9">
    <w:name w:val="heading 9"/>
    <w:basedOn w:val="Normal"/>
    <w:next w:val="Normal"/>
    <w:pPr>
      <w:keepNext/>
      <w:keepLines/>
      <w:spacing w:after="0"/>
      <w:outlineLvl w:val="8"/>
    </w:pPr>
    <w:rPr>
      <w:rFonts w:eastAsia="Yu Gothic Light" w:cs="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Yu Gothic Light" w:hAnsi="Aptos Display" w:cs="Times New Roman"/>
      <w:color w:val="0F4761"/>
      <w:sz w:val="40"/>
      <w:szCs w:val="40"/>
      <w:lang w:val="fr-FR"/>
    </w:rPr>
  </w:style>
  <w:style w:type="character" w:customStyle="1" w:styleId="Titre2Car">
    <w:name w:val="Titre 2 Car"/>
    <w:basedOn w:val="Policepardfaut"/>
    <w:rPr>
      <w:rFonts w:ascii="Aptos Display" w:eastAsia="Yu Gothic Light" w:hAnsi="Aptos Display" w:cs="Times New Roman"/>
      <w:color w:val="0F4761"/>
      <w:sz w:val="32"/>
      <w:szCs w:val="32"/>
      <w:lang w:val="fr-FR"/>
    </w:rPr>
  </w:style>
  <w:style w:type="character" w:customStyle="1" w:styleId="Titre3Car">
    <w:name w:val="Titre 3 Car"/>
    <w:basedOn w:val="Policepardfaut"/>
    <w:rPr>
      <w:rFonts w:eastAsia="Yu Gothic Light" w:cs="Times New Roman"/>
      <w:color w:val="0F4761"/>
      <w:sz w:val="28"/>
      <w:szCs w:val="28"/>
      <w:lang w:val="fr-FR"/>
    </w:rPr>
  </w:style>
  <w:style w:type="character" w:customStyle="1" w:styleId="Titre4Car">
    <w:name w:val="Titre 4 Car"/>
    <w:basedOn w:val="Policepardfaut"/>
    <w:rPr>
      <w:rFonts w:eastAsia="Yu Gothic Light" w:cs="Times New Roman"/>
      <w:i/>
      <w:iCs/>
      <w:color w:val="0F4761"/>
      <w:lang w:val="fr-FR"/>
    </w:rPr>
  </w:style>
  <w:style w:type="character" w:customStyle="1" w:styleId="Titre5Car">
    <w:name w:val="Titre 5 Car"/>
    <w:basedOn w:val="Policepardfaut"/>
    <w:rPr>
      <w:rFonts w:eastAsia="Yu Gothic Light" w:cs="Times New Roman"/>
      <w:color w:val="0F4761"/>
      <w:lang w:val="fr-FR"/>
    </w:rPr>
  </w:style>
  <w:style w:type="character" w:customStyle="1" w:styleId="Titre6Car">
    <w:name w:val="Titre 6 Car"/>
    <w:basedOn w:val="Policepardfaut"/>
    <w:rPr>
      <w:rFonts w:eastAsia="Yu Gothic Light" w:cs="Times New Roman"/>
      <w:i/>
      <w:iCs/>
      <w:color w:val="595959"/>
      <w:lang w:val="fr-FR"/>
    </w:rPr>
  </w:style>
  <w:style w:type="character" w:customStyle="1" w:styleId="Titre7Car">
    <w:name w:val="Titre 7 Car"/>
    <w:basedOn w:val="Policepardfaut"/>
    <w:rPr>
      <w:rFonts w:eastAsia="Yu Gothic Light" w:cs="Times New Roman"/>
      <w:color w:val="595959"/>
      <w:lang w:val="fr-FR"/>
    </w:rPr>
  </w:style>
  <w:style w:type="character" w:customStyle="1" w:styleId="Titre8Car">
    <w:name w:val="Titre 8 Car"/>
    <w:basedOn w:val="Policepardfaut"/>
    <w:rPr>
      <w:rFonts w:eastAsia="Yu Gothic Light" w:cs="Times New Roman"/>
      <w:i/>
      <w:iCs/>
      <w:color w:val="272727"/>
      <w:lang w:val="fr-FR"/>
    </w:rPr>
  </w:style>
  <w:style w:type="character" w:customStyle="1" w:styleId="Titre9Car">
    <w:name w:val="Titre 9 Car"/>
    <w:basedOn w:val="Policepardfaut"/>
    <w:rPr>
      <w:rFonts w:eastAsia="Yu Gothic Light" w:cs="Times New Roman"/>
      <w:color w:val="272727"/>
      <w:lang w:val="fr-FR"/>
    </w:rPr>
  </w:style>
  <w:style w:type="paragraph" w:styleId="Titr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reCar">
    <w:name w:val="Titre Car"/>
    <w:basedOn w:val="Policepardfaut"/>
    <w:rPr>
      <w:rFonts w:ascii="Aptos Display" w:eastAsia="Yu Gothic Light" w:hAnsi="Aptos Display" w:cs="Times New Roman"/>
      <w:spacing w:val="-10"/>
      <w:kern w:val="3"/>
      <w:sz w:val="56"/>
      <w:szCs w:val="56"/>
      <w:lang w:val="fr-FR"/>
    </w:rPr>
  </w:style>
  <w:style w:type="paragraph" w:styleId="Sous-titre">
    <w:name w:val="Subtitle"/>
    <w:basedOn w:val="Normal"/>
    <w:next w:val="Normal"/>
    <w:uiPriority w:val="11"/>
    <w:qFormat/>
    <w:rPr>
      <w:rFonts w:eastAsia="Yu Gothic Light" w:cs="Times New Roman"/>
      <w:color w:val="595959"/>
      <w:spacing w:val="15"/>
      <w:sz w:val="28"/>
      <w:szCs w:val="28"/>
    </w:rPr>
  </w:style>
  <w:style w:type="character" w:customStyle="1" w:styleId="Sous-titreCar">
    <w:name w:val="Sous-titre Car"/>
    <w:basedOn w:val="Policepardfaut"/>
    <w:rPr>
      <w:rFonts w:eastAsia="Yu Gothic Light" w:cs="Times New Roman"/>
      <w:color w:val="595959"/>
      <w:spacing w:val="15"/>
      <w:sz w:val="28"/>
      <w:szCs w:val="28"/>
      <w:lang w:val="fr-FR"/>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lang w:val="fr-FR"/>
    </w:rPr>
  </w:style>
  <w:style w:type="paragraph" w:styleId="Paragraphedeliste">
    <w:name w:val="List Paragraph"/>
    <w:basedOn w:val="Normal"/>
    <w:pPr>
      <w:ind w:left="720"/>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lang w:val="fr-FR"/>
    </w:rPr>
  </w:style>
  <w:style w:type="character" w:styleId="Rfrenceintense">
    <w:name w:val="Intense Reference"/>
    <w:basedOn w:val="Policepardfaut"/>
    <w:rPr>
      <w:b/>
      <w:bCs/>
      <w:smallCaps/>
      <w:color w:val="0F4761"/>
      <w:spacing w:val="5"/>
    </w:rPr>
  </w:style>
  <w:style w:type="paragraph" w:styleId="En-tte">
    <w:name w:val="header"/>
    <w:basedOn w:val="Normal"/>
    <w:pPr>
      <w:tabs>
        <w:tab w:val="center" w:pos="4536"/>
        <w:tab w:val="right" w:pos="9072"/>
      </w:tabs>
      <w:spacing w:after="0"/>
    </w:pPr>
  </w:style>
  <w:style w:type="character" w:customStyle="1" w:styleId="En-tteCar">
    <w:name w:val="En-tête Car"/>
    <w:basedOn w:val="Policepardfaut"/>
    <w:rPr>
      <w:lang w:val="fr-FR"/>
    </w:rPr>
  </w:style>
  <w:style w:type="paragraph" w:styleId="Pieddepage">
    <w:name w:val="footer"/>
    <w:basedOn w:val="Normal"/>
    <w:pPr>
      <w:tabs>
        <w:tab w:val="center" w:pos="4536"/>
        <w:tab w:val="right" w:pos="9072"/>
      </w:tabs>
      <w:spacing w:after="0"/>
    </w:pPr>
  </w:style>
  <w:style w:type="character" w:customStyle="1" w:styleId="PieddepageCar">
    <w:name w:val="Pied de page Car"/>
    <w:basedOn w:val="Policepardfaut"/>
    <w:rPr>
      <w:lang w:val="fr-FR"/>
    </w:rPr>
  </w:style>
  <w:style w:type="character" w:styleId="Marquedecommentaire">
    <w:name w:val="annotation reference"/>
    <w:basedOn w:val="Policepardfaut"/>
    <w:rPr>
      <w:sz w:val="16"/>
      <w:szCs w:val="16"/>
    </w:rPr>
  </w:style>
  <w:style w:type="paragraph" w:styleId="Commentaire">
    <w:name w:val="annotation text"/>
    <w:basedOn w:val="Normal"/>
    <w:rPr>
      <w:sz w:val="20"/>
      <w:szCs w:val="20"/>
    </w:rPr>
  </w:style>
  <w:style w:type="character" w:customStyle="1" w:styleId="CommentaireCar">
    <w:name w:val="Commentaire Car"/>
    <w:basedOn w:val="Policepardfaut"/>
    <w:rPr>
      <w:sz w:val="20"/>
      <w:szCs w:val="20"/>
      <w:lang w:val="fr-FR"/>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lang w:val="fr-FR"/>
    </w:rPr>
  </w:style>
  <w:style w:type="character" w:styleId="lev">
    <w:name w:val="Strong"/>
    <w:rPr>
      <w:b/>
    </w:rPr>
  </w:style>
  <w:style w:type="character" w:styleId="Accentuation">
    <w:name w:val="Emphasis"/>
    <w:rPr>
      <w:i/>
    </w:rPr>
  </w:style>
  <w:style w:type="character" w:styleId="Lienhypertexte">
    <w:name w:val="Hyperlink"/>
    <w:rPr>
      <w:color w:val="0000FF"/>
      <w:u w:val="single"/>
    </w:rPr>
  </w:style>
  <w:style w:type="character" w:styleId="Appelnotedebasdep">
    <w:name w:val="footnote reference"/>
    <w:rPr>
      <w:position w:val="0"/>
      <w:vertAlign w:val="superscript"/>
    </w:rPr>
  </w:style>
  <w:style w:type="paragraph" w:styleId="NormalWeb">
    <w:name w:val="Normal (Web)"/>
    <w:basedOn w:val="Normal"/>
    <w:pPr>
      <w:spacing w:before="100" w:after="100"/>
    </w:pPr>
    <w:rPr>
      <w:rFonts w:ascii="Times New Roman" w:eastAsia="Times New Roman" w:hAnsi="Times New Roman" w:cs="Times New Roman"/>
      <w:sz w:val="24"/>
      <w:szCs w:val="24"/>
      <w:lang w:val="fr-BE" w:eastAsia="fr-BE"/>
    </w:rPr>
  </w:style>
  <w:style w:type="character" w:styleId="Mentionnonrsolue">
    <w:name w:val="Unresolved Mention"/>
    <w:basedOn w:val="Policepardfaut"/>
    <w:rPr>
      <w:color w:val="605E5C"/>
      <w:shd w:val="clear" w:color="auto" w:fill="E1DFDD"/>
    </w:rPr>
  </w:style>
  <w:style w:type="table" w:styleId="Grilledutableau">
    <w:name w:val="Table Grid"/>
    <w:basedOn w:val="TableauNormal"/>
    <w:uiPriority w:val="39"/>
    <w:rsid w:val="008120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ordination.prog.oag2000@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_zaoui2000@yahoo.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inghazal2000@yahoo.fr" TargetMode="External"/><Relationship Id="rId5" Type="http://schemas.openxmlformats.org/officeDocument/2006/relationships/footnotes" Target="footnotes.xml"/><Relationship Id="rId10" Type="http://schemas.openxmlformats.org/officeDocument/2006/relationships/hyperlink" Target="mailto:mainghazal2000@yahoo.fr" TargetMode="External"/><Relationship Id="rId4" Type="http://schemas.openxmlformats.org/officeDocument/2006/relationships/webSettings" Target="webSettings.xml"/><Relationship Id="rId9" Type="http://schemas.openxmlformats.org/officeDocument/2006/relationships/hyperlink" Target="mailto:finance.tamallouk@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3126</Words>
  <Characters>17199</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Verdier</dc:creator>
  <dc:description/>
  <cp:lastModifiedBy>Soufian FAGROUD</cp:lastModifiedBy>
  <cp:revision>7</cp:revision>
  <dcterms:created xsi:type="dcterms:W3CDTF">2026-04-28T16:07:00Z</dcterms:created>
  <dcterms:modified xsi:type="dcterms:W3CDTF">2026-04-29T09:30:00Z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0x010100A8CEFFD3978A3249A8FF0D6FB876FA30</vt:lpwstr>
  </property>
</Properties>
</file>