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91B75" w14:textId="77777777" w:rsidR="00797195" w:rsidRDefault="00797195">
      <w:pPr>
        <w:spacing w:after="400"/>
      </w:pPr>
    </w:p>
    <w:p w14:paraId="1C0F207D" w14:textId="77777777" w:rsidR="00797195" w:rsidRDefault="00000000">
      <w:pPr>
        <w:jc w:val="center"/>
      </w:pPr>
      <w:r>
        <w:rPr>
          <w:noProof/>
        </w:rPr>
        <w:drawing>
          <wp:inline distT="0" distB="0" distL="0" distR="0" wp14:anchorId="6907DD30" wp14:editId="6DBD6056">
            <wp:extent cx="2381250" cy="1219200"/>
            <wp:effectExtent l="0" t="0" r="0" b="0"/>
            <wp:docPr id="1" name="amh-logo" descr="Logo AMH" title="AM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381250" cy="1219200"/>
                    </a:xfrm>
                    <a:prstGeom prst="rect">
                      <a:avLst/>
                    </a:prstGeom>
                  </pic:spPr>
                </pic:pic>
              </a:graphicData>
            </a:graphic>
          </wp:inline>
        </w:drawing>
      </w:r>
    </w:p>
    <w:p w14:paraId="0B5E0BBE" w14:textId="77777777" w:rsidR="00797195" w:rsidRDefault="00797195">
      <w:pPr>
        <w:spacing w:after="200"/>
      </w:pPr>
    </w:p>
    <w:p w14:paraId="31F53192" w14:textId="77777777" w:rsidR="00797195" w:rsidRDefault="00000000">
      <w:pPr>
        <w:spacing w:after="60" w:line="276" w:lineRule="auto"/>
        <w:jc w:val="center"/>
      </w:pPr>
      <w:r>
        <w:rPr>
          <w:b/>
          <w:bCs/>
          <w:color w:val="212E98"/>
          <w:sz w:val="28"/>
          <w:szCs w:val="28"/>
        </w:rPr>
        <w:t>AMICALE MAROCAINE DES HANDICAPÉS</w:t>
      </w:r>
    </w:p>
    <w:p w14:paraId="267B74B3" w14:textId="77777777" w:rsidR="00797195" w:rsidRDefault="00000000">
      <w:pPr>
        <w:spacing w:after="400" w:line="276" w:lineRule="auto"/>
        <w:jc w:val="center"/>
      </w:pPr>
      <w:r>
        <w:rPr>
          <w:i/>
          <w:iCs/>
          <w:color w:val="666666"/>
        </w:rPr>
        <w:t>Association reconnue d’utilité publique</w:t>
      </w:r>
    </w:p>
    <w:p w14:paraId="6938B584" w14:textId="77777777" w:rsidR="00797195" w:rsidRDefault="00797195">
      <w:pPr>
        <w:spacing w:after="100"/>
      </w:pPr>
    </w:p>
    <w:p w14:paraId="3F987586" w14:textId="77777777" w:rsidR="00797195" w:rsidRDefault="00000000">
      <w:pPr>
        <w:spacing w:after="200" w:line="276" w:lineRule="auto"/>
        <w:jc w:val="center"/>
      </w:pPr>
      <w:r>
        <w:rPr>
          <w:color w:val="212E98"/>
          <w:sz w:val="14"/>
          <w:szCs w:val="14"/>
        </w:rPr>
        <w:t>────────────────────────────────────────────────────────────</w:t>
      </w:r>
    </w:p>
    <w:p w14:paraId="56E17716" w14:textId="77777777" w:rsidR="00797195" w:rsidRDefault="00000000">
      <w:pPr>
        <w:spacing w:after="120" w:line="276" w:lineRule="auto"/>
        <w:jc w:val="center"/>
      </w:pPr>
      <w:r>
        <w:rPr>
          <w:b/>
          <w:bCs/>
          <w:color w:val="212E98"/>
          <w:sz w:val="36"/>
          <w:szCs w:val="36"/>
        </w:rPr>
        <w:t>CAHIER DES CHARGES</w:t>
      </w:r>
    </w:p>
    <w:p w14:paraId="4B2D1442" w14:textId="77777777" w:rsidR="00797195" w:rsidRDefault="00000000">
      <w:pPr>
        <w:spacing w:after="300" w:line="276" w:lineRule="auto"/>
        <w:jc w:val="center"/>
      </w:pPr>
      <w:r>
        <w:rPr>
          <w:color w:val="212E98"/>
          <w:sz w:val="14"/>
          <w:szCs w:val="14"/>
        </w:rPr>
        <w:t>────────────────────────────────────────────────────────────</w:t>
      </w:r>
    </w:p>
    <w:p w14:paraId="1B6EF5AE" w14:textId="77777777" w:rsidR="00797195" w:rsidRDefault="00797195">
      <w:pPr>
        <w:spacing w:after="100"/>
      </w:pPr>
    </w:p>
    <w:p w14:paraId="0AD3D58D" w14:textId="77777777" w:rsidR="00797195" w:rsidRDefault="00000000">
      <w:pPr>
        <w:spacing w:after="40" w:line="276" w:lineRule="auto"/>
        <w:jc w:val="center"/>
      </w:pPr>
      <w:r>
        <w:rPr>
          <w:b/>
          <w:bCs/>
          <w:color w:val="333333"/>
          <w:sz w:val="26"/>
          <w:szCs w:val="26"/>
        </w:rPr>
        <w:t>Réalisation d’une étude de mesure d’impact</w:t>
      </w:r>
    </w:p>
    <w:p w14:paraId="7BB444AE" w14:textId="77777777" w:rsidR="00797195" w:rsidRDefault="00000000">
      <w:pPr>
        <w:spacing w:after="300" w:line="276" w:lineRule="auto"/>
        <w:jc w:val="center"/>
      </w:pPr>
      <w:proofErr w:type="gramStart"/>
      <w:r>
        <w:rPr>
          <w:b/>
          <w:bCs/>
          <w:color w:val="333333"/>
          <w:sz w:val="26"/>
          <w:szCs w:val="26"/>
        </w:rPr>
        <w:t>et</w:t>
      </w:r>
      <w:proofErr w:type="gramEnd"/>
      <w:r>
        <w:rPr>
          <w:b/>
          <w:bCs/>
          <w:color w:val="333333"/>
          <w:sz w:val="26"/>
          <w:szCs w:val="26"/>
        </w:rPr>
        <w:t xml:space="preserve"> de mise en place d’un dispositif de suivi-évaluation</w:t>
      </w:r>
    </w:p>
    <w:p w14:paraId="4DBBCBD5" w14:textId="77777777" w:rsidR="00797195" w:rsidRDefault="00797195">
      <w:pPr>
        <w:spacing w:after="100"/>
      </w:pPr>
    </w:p>
    <w:p w14:paraId="4B240656" w14:textId="77777777" w:rsidR="00797195" w:rsidRDefault="00797195"/>
    <w:p w14:paraId="0224406B" w14:textId="7F14585C" w:rsidR="0027378C" w:rsidRDefault="0027378C">
      <w:pPr>
        <w:sectPr w:rsidR="0027378C">
          <w:pgSz w:w="11906" w:h="16838"/>
          <w:pgMar w:top="1440" w:right="1440" w:bottom="1440" w:left="1440" w:header="708" w:footer="708" w:gutter="0"/>
          <w:cols w:space="720"/>
          <w:docGrid w:linePitch="360"/>
        </w:sectPr>
      </w:pPr>
    </w:p>
    <w:p w14:paraId="43C8056A" w14:textId="6360667F" w:rsidR="00797195" w:rsidRDefault="00000000">
      <w:pPr>
        <w:pStyle w:val="Titre1"/>
        <w:pageBreakBefore/>
        <w:spacing w:before="0" w:after="120" w:line="276" w:lineRule="auto"/>
        <w:jc w:val="both"/>
      </w:pPr>
      <w:r>
        <w:rPr>
          <w:sz w:val="22"/>
          <w:szCs w:val="22"/>
        </w:rPr>
        <w:lastRenderedPageBreak/>
        <w:t>Préambule : Présentation de l’Association</w:t>
      </w:r>
    </w:p>
    <w:p w14:paraId="6B84845B" w14:textId="77777777" w:rsidR="00797195" w:rsidRDefault="00000000">
      <w:pPr>
        <w:spacing w:after="120" w:line="276" w:lineRule="auto"/>
        <w:jc w:val="both"/>
      </w:pPr>
      <w:r>
        <w:t>Fondée en 1992, l’Amicale Marocaine des Handicapés (AMH) est une association à but non lucratif, reconnue d’utilité publique en 1996, qui œuvre pour l’amélioration de la qualité de vie et l’inclusion socio-économique des personnes en situation de handicap moteur.</w:t>
      </w:r>
    </w:p>
    <w:p w14:paraId="55D68786" w14:textId="77777777" w:rsidR="00797195" w:rsidRDefault="00000000">
      <w:pPr>
        <w:spacing w:after="120" w:line="276" w:lineRule="auto"/>
        <w:jc w:val="both"/>
      </w:pPr>
      <w:r>
        <w:t>Structurée autour de deux pôles d’intervention, le pôle social et le pôle santé, l’AMH développe des actions dans les domaines de la santé, de l’autonomie et de l’éducation. Elle a pour mission de défendre les droits des personnes en situation de handicap, de sensibiliser le public et de promouvoir leur inclusion auprès des acteurs publics, associatifs et privés.</w:t>
      </w:r>
    </w:p>
    <w:p w14:paraId="221A123F" w14:textId="77777777" w:rsidR="00797195" w:rsidRDefault="00000000">
      <w:pPr>
        <w:pBdr>
          <w:bottom w:val="single" w:sz="2" w:space="0" w:color="212E98"/>
        </w:pBdr>
        <w:spacing w:before="360" w:after="200" w:line="276" w:lineRule="auto"/>
        <w:jc w:val="both"/>
      </w:pPr>
      <w:r>
        <w:rPr>
          <w:b/>
          <w:bCs/>
          <w:color w:val="212E98"/>
          <w:sz w:val="24"/>
          <w:szCs w:val="24"/>
        </w:rPr>
        <w:t>Article 1 : Objet de la consultation</w:t>
      </w:r>
    </w:p>
    <w:p w14:paraId="5D3ACA4F" w14:textId="77777777" w:rsidR="00797195" w:rsidRDefault="00000000">
      <w:pPr>
        <w:spacing w:after="120" w:line="276" w:lineRule="auto"/>
        <w:jc w:val="both"/>
      </w:pPr>
      <w:r>
        <w:t>La présente consultation a pour objet la sélection d’un Prestataire chargé de la réalisation d’une étude de mesure d’impact et de mise en place d’un dispositif de suivi-évaluation auprès de l’Amicale Marocaine des Handicapés, lauréate du « Prix CDG – Impact Social ».</w:t>
      </w:r>
    </w:p>
    <w:p w14:paraId="33702738" w14:textId="77777777" w:rsidR="00797195" w:rsidRDefault="00000000">
      <w:pPr>
        <w:pBdr>
          <w:bottom w:val="single" w:sz="2" w:space="0" w:color="212E98"/>
        </w:pBdr>
        <w:spacing w:before="360" w:after="200" w:line="276" w:lineRule="auto"/>
        <w:jc w:val="both"/>
      </w:pPr>
      <w:r>
        <w:rPr>
          <w:b/>
          <w:bCs/>
          <w:color w:val="212E98"/>
          <w:sz w:val="24"/>
          <w:szCs w:val="24"/>
        </w:rPr>
        <w:t>Article 2 : Contexte et objectifs de la mission</w:t>
      </w:r>
    </w:p>
    <w:p w14:paraId="709D661C" w14:textId="77777777" w:rsidR="00797195" w:rsidRDefault="00000000">
      <w:pPr>
        <w:spacing w:after="120" w:line="276" w:lineRule="auto"/>
        <w:jc w:val="both"/>
      </w:pPr>
      <w:r>
        <w:t>La Fondation CDG a lancé la première édition du « Prix CDG – Impact Social » afin de valoriser le rôle des associations dans la création de valeur sociale et économique et de promouvoir la culture de l’évaluation d’impact.</w:t>
      </w:r>
    </w:p>
    <w:p w14:paraId="6163270C" w14:textId="77777777" w:rsidR="00797195" w:rsidRDefault="00000000">
      <w:pPr>
        <w:spacing w:before="200" w:after="120" w:line="276" w:lineRule="auto"/>
        <w:jc w:val="both"/>
      </w:pPr>
      <w:r>
        <w:rPr>
          <w:b/>
          <w:bCs/>
        </w:rPr>
        <w:t>Objectif général</w:t>
      </w:r>
    </w:p>
    <w:p w14:paraId="33DDE056" w14:textId="77777777" w:rsidR="00797195" w:rsidRDefault="00000000">
      <w:pPr>
        <w:spacing w:after="120" w:line="276" w:lineRule="auto"/>
        <w:jc w:val="both"/>
      </w:pPr>
      <w:r>
        <w:t>Dans le cadre de ce prix, l’Amicale Marocaine des Handicapés recherche un prestataire spécialisé dans les études d’impact pour l’accompagner dans le pilotage par l’impact des actions mises en œuvre par son pôle social, à travers les différents services assurés par ses guichets, à savoir l’accueil et l’orientation, l’appui technique et administratif, l’insertion professionnelle, l’appui socio-médical et l’éducation.</w:t>
      </w:r>
    </w:p>
    <w:p w14:paraId="61F40913" w14:textId="77777777" w:rsidR="00797195" w:rsidRDefault="00000000">
      <w:pPr>
        <w:spacing w:after="120" w:line="276" w:lineRule="auto"/>
        <w:jc w:val="both"/>
      </w:pPr>
      <w:r>
        <w:t>La mission a pour objet de concevoir et déployer un dispositif de suivi-évaluation adapté et opérationnel, de conduire une étude rigoureuse de l’impact social et économique des actions menées, de mener une évaluation du retour social sur investissement (SROI), et d’assurer un transfert de compétences au bénéfice des équipes de l’Association.</w:t>
      </w:r>
    </w:p>
    <w:p w14:paraId="6A0D02D4" w14:textId="77777777" w:rsidR="00797195" w:rsidRDefault="00000000">
      <w:pPr>
        <w:spacing w:before="200" w:after="120" w:line="276" w:lineRule="auto"/>
        <w:jc w:val="both"/>
      </w:pPr>
      <w:r>
        <w:rPr>
          <w:b/>
          <w:bCs/>
        </w:rPr>
        <w:t>Objectifs spécifiques</w:t>
      </w:r>
    </w:p>
    <w:p w14:paraId="1032728F" w14:textId="77777777" w:rsidR="00797195" w:rsidRDefault="00000000">
      <w:pPr>
        <w:pStyle w:val="Paragraphedeliste"/>
        <w:numPr>
          <w:ilvl w:val="0"/>
          <w:numId w:val="2"/>
        </w:numPr>
        <w:spacing w:after="120" w:line="276" w:lineRule="auto"/>
        <w:jc w:val="both"/>
      </w:pPr>
      <w:r>
        <w:t>Évaluer les effets des interventions du pôle social sur les bénéficiaires, leurs familles, les parties prenantes et l’écosystème d’intervention de l’AMH, en identifiant les changements observés ainsi que les facteurs y ayant contribué ;</w:t>
      </w:r>
    </w:p>
    <w:p w14:paraId="7A618EDE" w14:textId="77777777" w:rsidR="00797195" w:rsidRDefault="00000000">
      <w:pPr>
        <w:pStyle w:val="Paragraphedeliste"/>
        <w:numPr>
          <w:ilvl w:val="0"/>
          <w:numId w:val="2"/>
        </w:numPr>
        <w:spacing w:after="120" w:line="276" w:lineRule="auto"/>
        <w:jc w:val="both"/>
      </w:pPr>
      <w:r>
        <w:t>Élaborer un dispositif de suivi-évaluation pérenne, comprenant des indicateurs quantitatifs et qualitatifs, des outils de collecte, des modalités de suivi, ainsi qu’une répartition claire des rôles et responsabilités ;</w:t>
      </w:r>
    </w:p>
    <w:p w14:paraId="0BB2E053" w14:textId="77777777" w:rsidR="00797195" w:rsidRDefault="00000000">
      <w:pPr>
        <w:pStyle w:val="Paragraphedeliste"/>
        <w:numPr>
          <w:ilvl w:val="0"/>
          <w:numId w:val="2"/>
        </w:numPr>
        <w:spacing w:after="120" w:line="276" w:lineRule="auto"/>
        <w:jc w:val="both"/>
      </w:pPr>
      <w:r>
        <w:lastRenderedPageBreak/>
        <w:t>Renforcer les capacités des équipes de l’AMH en matière de collecte, d’analyse, d’interprétation et d’utilisation des données, afin de soutenir la décision, l’apprentissage et l’amélioration continue ;</w:t>
      </w:r>
    </w:p>
    <w:p w14:paraId="6854856D" w14:textId="77777777" w:rsidR="00797195" w:rsidRDefault="00000000">
      <w:pPr>
        <w:pStyle w:val="Paragraphedeliste"/>
        <w:numPr>
          <w:ilvl w:val="0"/>
          <w:numId w:val="2"/>
        </w:numPr>
        <w:spacing w:after="120" w:line="276" w:lineRule="auto"/>
        <w:jc w:val="both"/>
      </w:pPr>
      <w:r>
        <w:t>Produire une analyse du retour social sur investissement (SROI) afin d’estimer la valeur sociale créée par les interventions du pôle social au regard des ressources mobilisées, et d’apprécier, à terme, la valeur générée pour chaque dirham engagé ;</w:t>
      </w:r>
    </w:p>
    <w:p w14:paraId="0D8F860F" w14:textId="77777777" w:rsidR="00797195" w:rsidRDefault="00000000">
      <w:pPr>
        <w:pStyle w:val="Paragraphedeliste"/>
        <w:numPr>
          <w:ilvl w:val="0"/>
          <w:numId w:val="2"/>
        </w:numPr>
        <w:spacing w:after="120" w:line="276" w:lineRule="auto"/>
        <w:jc w:val="both"/>
      </w:pPr>
      <w:r>
        <w:t>Formuler des recommandations opérationnelles et stratégiques pour améliorer la performance, la pérennité, la lisibilité et la valorisation des actions du pôle social.</w:t>
      </w:r>
    </w:p>
    <w:p w14:paraId="5616B0A9" w14:textId="77777777" w:rsidR="00797195" w:rsidRDefault="00000000">
      <w:pPr>
        <w:pBdr>
          <w:bottom w:val="single" w:sz="2" w:space="0" w:color="212E98"/>
        </w:pBdr>
        <w:spacing w:before="360" w:after="200" w:line="276" w:lineRule="auto"/>
        <w:jc w:val="both"/>
      </w:pPr>
      <w:r>
        <w:rPr>
          <w:b/>
          <w:bCs/>
          <w:color w:val="212E98"/>
          <w:sz w:val="24"/>
          <w:szCs w:val="24"/>
        </w:rPr>
        <w:t>Article 3 : Déroulement de la mission</w:t>
      </w:r>
    </w:p>
    <w:p w14:paraId="3F841A9D" w14:textId="77777777" w:rsidR="00797195" w:rsidRDefault="00000000">
      <w:pPr>
        <w:spacing w:after="120" w:line="276" w:lineRule="auto"/>
        <w:jc w:val="both"/>
      </w:pPr>
      <w:r>
        <w:t>La mission se déroulera sur une durée globale de six (6) mois et sera structurée en quatre (4) étapes :</w:t>
      </w:r>
    </w:p>
    <w:p w14:paraId="49FDBCFF" w14:textId="77777777" w:rsidR="00797195" w:rsidRDefault="00000000">
      <w:pPr>
        <w:pStyle w:val="Paragraphedeliste"/>
        <w:numPr>
          <w:ilvl w:val="0"/>
          <w:numId w:val="3"/>
        </w:numPr>
        <w:spacing w:after="120" w:line="276" w:lineRule="auto"/>
        <w:jc w:val="both"/>
      </w:pPr>
      <w:r>
        <w:t>Étape 1 : Cadrage de la mission</w:t>
      </w:r>
    </w:p>
    <w:p w14:paraId="264852D0" w14:textId="77777777" w:rsidR="00797195" w:rsidRDefault="00000000">
      <w:pPr>
        <w:pStyle w:val="Paragraphedeliste"/>
        <w:numPr>
          <w:ilvl w:val="0"/>
          <w:numId w:val="3"/>
        </w:numPr>
        <w:spacing w:after="120" w:line="276" w:lineRule="auto"/>
        <w:jc w:val="both"/>
      </w:pPr>
      <w:r>
        <w:t>Étape 2 : Collecte de données sur le terrain</w:t>
      </w:r>
    </w:p>
    <w:p w14:paraId="3F9DB6AD" w14:textId="77777777" w:rsidR="00797195" w:rsidRDefault="00000000">
      <w:pPr>
        <w:pStyle w:val="Paragraphedeliste"/>
        <w:numPr>
          <w:ilvl w:val="0"/>
          <w:numId w:val="3"/>
        </w:numPr>
        <w:spacing w:after="120" w:line="276" w:lineRule="auto"/>
        <w:jc w:val="both"/>
      </w:pPr>
      <w:r>
        <w:t>Étape 3 : Analyse des données, mesure d’impact et élaboration du dispositif de suivi-évaluation</w:t>
      </w:r>
    </w:p>
    <w:p w14:paraId="2075DEC5" w14:textId="77777777" w:rsidR="00797195" w:rsidRDefault="00000000">
      <w:pPr>
        <w:pStyle w:val="Paragraphedeliste"/>
        <w:numPr>
          <w:ilvl w:val="0"/>
          <w:numId w:val="3"/>
        </w:numPr>
        <w:spacing w:after="120" w:line="276" w:lineRule="auto"/>
        <w:jc w:val="both"/>
      </w:pPr>
      <w:r>
        <w:t>Étape 4 : Restitution, capitalisation et transfert de compétences</w:t>
      </w:r>
    </w:p>
    <w:p w14:paraId="64EFEFD3" w14:textId="77777777" w:rsidR="00797195" w:rsidRDefault="00797195">
      <w:pPr>
        <w:spacing w:after="60"/>
      </w:pPr>
    </w:p>
    <w:p w14:paraId="63D05DB2" w14:textId="77777777" w:rsidR="00797195" w:rsidRDefault="00000000">
      <w:pPr>
        <w:spacing w:before="200" w:after="120" w:line="276" w:lineRule="auto"/>
        <w:jc w:val="both"/>
      </w:pPr>
      <w:r>
        <w:rPr>
          <w:b/>
          <w:bCs/>
          <w:color w:val="212E98"/>
        </w:rPr>
        <w:t xml:space="preserve">Étape 1 : Cadrage de la mission </w:t>
      </w:r>
      <w:r>
        <w:rPr>
          <w:i/>
          <w:iCs/>
          <w:color w:val="666666"/>
          <w:sz w:val="20"/>
          <w:szCs w:val="20"/>
        </w:rPr>
        <w:t>(S1–S4 | ~4 semaines)</w:t>
      </w:r>
    </w:p>
    <w:p w14:paraId="4BA77305" w14:textId="77777777" w:rsidR="00797195" w:rsidRDefault="00000000">
      <w:pPr>
        <w:pStyle w:val="Paragraphedeliste"/>
        <w:numPr>
          <w:ilvl w:val="0"/>
          <w:numId w:val="2"/>
        </w:numPr>
        <w:spacing w:after="120" w:line="276" w:lineRule="auto"/>
        <w:jc w:val="both"/>
      </w:pPr>
      <w:r>
        <w:t>Cadrage de la mission avec l’AMH : clarification des objectifs, des attentes, du périmètre d’analyse, des parties prenantes et du calendrier.</w:t>
      </w:r>
    </w:p>
    <w:p w14:paraId="71F45C3B" w14:textId="77777777" w:rsidR="00797195" w:rsidRDefault="00000000">
      <w:pPr>
        <w:pStyle w:val="Paragraphedeliste"/>
        <w:numPr>
          <w:ilvl w:val="0"/>
          <w:numId w:val="2"/>
        </w:numPr>
        <w:spacing w:after="120" w:line="276" w:lineRule="auto"/>
        <w:jc w:val="both"/>
      </w:pPr>
      <w:r>
        <w:t>Réunion de lancement avec les équipes de l’AMH afin de présenter la démarche, recueillir les attentes, valider le planning définitif et préciser le périmètre d’intervention du pôle social.</w:t>
      </w:r>
    </w:p>
    <w:p w14:paraId="46834655" w14:textId="77777777" w:rsidR="00797195" w:rsidRDefault="00000000">
      <w:pPr>
        <w:pStyle w:val="Paragraphedeliste"/>
        <w:numPr>
          <w:ilvl w:val="0"/>
          <w:numId w:val="2"/>
        </w:numPr>
        <w:spacing w:after="120" w:line="276" w:lineRule="auto"/>
        <w:jc w:val="both"/>
      </w:pPr>
      <w:r>
        <w:t xml:space="preserve">Examiner en détail la documentation existante sur le projet, y compris les livrables réalisés durant et post </w:t>
      </w:r>
      <w:proofErr w:type="spellStart"/>
      <w:r>
        <w:t>Bootcamp</w:t>
      </w:r>
      <w:proofErr w:type="spellEnd"/>
      <w:r>
        <w:t xml:space="preserve"> (Théorie de changement, Guide d’entretien, questionnaire…).</w:t>
      </w:r>
    </w:p>
    <w:p w14:paraId="352E114F" w14:textId="77777777" w:rsidR="00797195" w:rsidRDefault="00000000">
      <w:pPr>
        <w:pStyle w:val="Paragraphedeliste"/>
        <w:numPr>
          <w:ilvl w:val="0"/>
          <w:numId w:val="2"/>
        </w:numPr>
        <w:spacing w:after="120" w:line="276" w:lineRule="auto"/>
        <w:jc w:val="both"/>
      </w:pPr>
      <w:r>
        <w:t xml:space="preserve">Revue approfondie de la documentation existante relative au pôle social, à ses guichets, à ses services, à ses outils de gestion, de suivi et de </w:t>
      </w:r>
      <w:proofErr w:type="spellStart"/>
      <w:r>
        <w:t>reporting</w:t>
      </w:r>
      <w:proofErr w:type="spellEnd"/>
      <w:r>
        <w:t>, ainsi qu’aux données disponibles sur les bénéficiaires et les actions menées.</w:t>
      </w:r>
    </w:p>
    <w:p w14:paraId="435AC2CA" w14:textId="77777777" w:rsidR="00797195" w:rsidRDefault="00000000">
      <w:pPr>
        <w:pStyle w:val="Paragraphedeliste"/>
        <w:numPr>
          <w:ilvl w:val="0"/>
          <w:numId w:val="2"/>
        </w:numPr>
        <w:spacing w:after="120" w:line="276" w:lineRule="auto"/>
        <w:jc w:val="both"/>
      </w:pPr>
      <w:r>
        <w:t>Analyse des services couverts par les guichets, notamment l’accueil et l’orientation, l’appui technique et administratif, l’insertion professionnelle, l’appui socio-médical et l’éducation.</w:t>
      </w:r>
    </w:p>
    <w:p w14:paraId="0BEF96FA" w14:textId="77777777" w:rsidR="00797195" w:rsidRDefault="00000000">
      <w:pPr>
        <w:pStyle w:val="Paragraphedeliste"/>
        <w:numPr>
          <w:ilvl w:val="0"/>
          <w:numId w:val="2"/>
        </w:numPr>
        <w:spacing w:after="120" w:line="276" w:lineRule="auto"/>
        <w:jc w:val="both"/>
      </w:pPr>
      <w:r>
        <w:t>Élaboration et validation de la méthodologie d’intervention, de la matrice d’analyse et du plan de travail détaillé.</w:t>
      </w:r>
    </w:p>
    <w:p w14:paraId="017FB543" w14:textId="77777777" w:rsidR="00797195" w:rsidRDefault="00000000">
      <w:pPr>
        <w:pStyle w:val="Paragraphedeliste"/>
        <w:numPr>
          <w:ilvl w:val="0"/>
          <w:numId w:val="2"/>
        </w:numPr>
        <w:spacing w:after="120" w:line="276" w:lineRule="auto"/>
        <w:jc w:val="both"/>
      </w:pPr>
      <w:r>
        <w:t>Définition du cadre méthodologique de l’analyse du retour social sur investissement (SROI), incluant l’identification préliminaire des parties prenantes, des principaux changements attendus, des ressources mobilisées et des éléments à valoriser.</w:t>
      </w:r>
    </w:p>
    <w:p w14:paraId="1B5986E9" w14:textId="77777777" w:rsidR="00797195" w:rsidRDefault="00797195">
      <w:pPr>
        <w:spacing w:after="60"/>
      </w:pPr>
    </w:p>
    <w:p w14:paraId="54995BA1" w14:textId="77777777" w:rsidR="00797195" w:rsidRDefault="00000000">
      <w:pPr>
        <w:spacing w:before="200" w:after="120" w:line="276" w:lineRule="auto"/>
        <w:jc w:val="both"/>
      </w:pPr>
      <w:r>
        <w:rPr>
          <w:b/>
          <w:bCs/>
          <w:color w:val="212E98"/>
        </w:rPr>
        <w:t xml:space="preserve">Étape 2 : Collecte de données sur le terrain </w:t>
      </w:r>
      <w:r>
        <w:rPr>
          <w:i/>
          <w:iCs/>
          <w:color w:val="666666"/>
          <w:sz w:val="20"/>
          <w:szCs w:val="20"/>
        </w:rPr>
        <w:t>(S4–S12 | ~8 semaines)</w:t>
      </w:r>
    </w:p>
    <w:p w14:paraId="1A5D23AB" w14:textId="77777777" w:rsidR="00797195" w:rsidRDefault="00000000">
      <w:pPr>
        <w:pStyle w:val="Paragraphedeliste"/>
        <w:numPr>
          <w:ilvl w:val="0"/>
          <w:numId w:val="2"/>
        </w:numPr>
        <w:spacing w:after="120" w:line="276" w:lineRule="auto"/>
        <w:jc w:val="both"/>
      </w:pPr>
      <w:r>
        <w:t>Élaboration et validation d’un plan d’échantillonnage représentatif des différentes parties prenantes concernées.</w:t>
      </w:r>
    </w:p>
    <w:p w14:paraId="022E0FC5" w14:textId="77777777" w:rsidR="00797195" w:rsidRDefault="00000000">
      <w:pPr>
        <w:pStyle w:val="Paragraphedeliste"/>
        <w:numPr>
          <w:ilvl w:val="0"/>
          <w:numId w:val="2"/>
        </w:numPr>
        <w:spacing w:after="120" w:line="276" w:lineRule="auto"/>
        <w:jc w:val="both"/>
      </w:pPr>
      <w:r>
        <w:t>Conception, adaptation et administration des outils de collecte quantitatifs et qualitatifs nécessaires à la mission.</w:t>
      </w:r>
    </w:p>
    <w:p w14:paraId="3C1FB855" w14:textId="77777777" w:rsidR="00797195" w:rsidRDefault="00000000">
      <w:pPr>
        <w:pStyle w:val="Paragraphedeliste"/>
        <w:numPr>
          <w:ilvl w:val="0"/>
          <w:numId w:val="2"/>
        </w:numPr>
        <w:spacing w:after="120" w:line="276" w:lineRule="auto"/>
        <w:jc w:val="both"/>
      </w:pPr>
      <w:r>
        <w:t>Réalisation d’enquêtes, d’entretiens, de groupes de discussion et de toute autre méthode pertinente auprès d’un échantillon représentatif de bénéficiaires, de familles, d’équipes, de partenaires et d’autres parties prenantes du pôle social.</w:t>
      </w:r>
    </w:p>
    <w:p w14:paraId="27EF5E76" w14:textId="77777777" w:rsidR="00797195" w:rsidRDefault="00000000">
      <w:pPr>
        <w:pStyle w:val="Paragraphedeliste"/>
        <w:numPr>
          <w:ilvl w:val="0"/>
          <w:numId w:val="2"/>
        </w:numPr>
        <w:spacing w:after="120" w:line="276" w:lineRule="auto"/>
        <w:jc w:val="both"/>
      </w:pPr>
      <w:r>
        <w:t>Recueil de données relatives aux effets des services proposés par les guichets sur les bénéficiaires et leur environnement.</w:t>
      </w:r>
    </w:p>
    <w:p w14:paraId="2507AD96" w14:textId="77777777" w:rsidR="00797195" w:rsidRDefault="00000000">
      <w:pPr>
        <w:pStyle w:val="Paragraphedeliste"/>
        <w:numPr>
          <w:ilvl w:val="0"/>
          <w:numId w:val="2"/>
        </w:numPr>
        <w:spacing w:after="120" w:line="276" w:lineRule="auto"/>
        <w:jc w:val="both"/>
      </w:pPr>
      <w:r>
        <w:t>Collecte de données contextuelles, organisationnelles, sociales, économiques et financières utiles à l’analyse de l’impact et à l’analyse du SROI.</w:t>
      </w:r>
    </w:p>
    <w:p w14:paraId="329B095E" w14:textId="77777777" w:rsidR="00797195" w:rsidRDefault="00000000">
      <w:pPr>
        <w:pStyle w:val="Paragraphedeliste"/>
        <w:numPr>
          <w:ilvl w:val="0"/>
          <w:numId w:val="2"/>
        </w:numPr>
        <w:spacing w:after="120" w:line="276" w:lineRule="auto"/>
        <w:jc w:val="both"/>
      </w:pPr>
      <w:r>
        <w:t>Collecte des données nécessaires à l’appréciation de la valeur sociale créée, notamment en lien avec les changements observés, les ressources mobilisées, les contributions d’autres acteurs, ainsi que les éléments permettant d’estimer la part de valeur effectivement attribuable aux interventions du pôle social.</w:t>
      </w:r>
    </w:p>
    <w:p w14:paraId="00C325A2" w14:textId="77777777" w:rsidR="00797195" w:rsidRDefault="00000000">
      <w:pPr>
        <w:pStyle w:val="Paragraphedeliste"/>
        <w:numPr>
          <w:ilvl w:val="0"/>
          <w:numId w:val="2"/>
        </w:numPr>
        <w:spacing w:after="120" w:line="276" w:lineRule="auto"/>
        <w:jc w:val="both"/>
      </w:pPr>
      <w:r>
        <w:t>Vérification de la qualité, de la fiabilité et de la cohérence des données recueillies.</w:t>
      </w:r>
    </w:p>
    <w:p w14:paraId="59875A18" w14:textId="77777777" w:rsidR="00797195" w:rsidRDefault="00797195">
      <w:pPr>
        <w:spacing w:after="60"/>
      </w:pPr>
    </w:p>
    <w:p w14:paraId="389824EF" w14:textId="77777777" w:rsidR="00797195" w:rsidRDefault="00000000">
      <w:pPr>
        <w:spacing w:before="200" w:after="120" w:line="276" w:lineRule="auto"/>
        <w:jc w:val="both"/>
      </w:pPr>
      <w:r>
        <w:rPr>
          <w:b/>
          <w:bCs/>
          <w:color w:val="212E98"/>
        </w:rPr>
        <w:t xml:space="preserve">Étape 3 : Analyse des données et élaboration d’un dispositif de suivi-évaluation </w:t>
      </w:r>
      <w:r>
        <w:rPr>
          <w:i/>
          <w:iCs/>
          <w:color w:val="666666"/>
          <w:sz w:val="20"/>
          <w:szCs w:val="20"/>
        </w:rPr>
        <w:t>(S12–S18 | ~6 semaines)</w:t>
      </w:r>
    </w:p>
    <w:p w14:paraId="3FCDBE70" w14:textId="77777777" w:rsidR="00797195" w:rsidRDefault="00000000">
      <w:pPr>
        <w:pStyle w:val="Paragraphedeliste"/>
        <w:numPr>
          <w:ilvl w:val="0"/>
          <w:numId w:val="2"/>
        </w:numPr>
        <w:spacing w:after="120" w:line="276" w:lineRule="auto"/>
        <w:jc w:val="both"/>
      </w:pPr>
      <w:r>
        <w:t>Traitement, nettoyage, organisation et consolidation des données quantitatives et qualitatives collectées.</w:t>
      </w:r>
    </w:p>
    <w:p w14:paraId="530FB1D1" w14:textId="77777777" w:rsidR="00797195" w:rsidRDefault="00000000">
      <w:pPr>
        <w:pStyle w:val="Paragraphedeliste"/>
        <w:numPr>
          <w:ilvl w:val="0"/>
          <w:numId w:val="2"/>
        </w:numPr>
        <w:spacing w:after="120" w:line="276" w:lineRule="auto"/>
        <w:jc w:val="both"/>
      </w:pPr>
      <w:r>
        <w:t>Analyse statistique des données collectées, y compris les données qualitatives, en utilisant les méthodes appropriées.</w:t>
      </w:r>
    </w:p>
    <w:p w14:paraId="1C2584AE" w14:textId="77777777" w:rsidR="00797195" w:rsidRDefault="00000000">
      <w:pPr>
        <w:pStyle w:val="Paragraphedeliste"/>
        <w:numPr>
          <w:ilvl w:val="0"/>
          <w:numId w:val="2"/>
        </w:numPr>
        <w:spacing w:after="120" w:line="276" w:lineRule="auto"/>
        <w:jc w:val="both"/>
      </w:pPr>
      <w:r>
        <w:t>Évaluation de l’impact des actions et services proposés à travers les guichets, en mettant en évidence les changements observés chez les bénéficiaires, leurs familles et les autres parties prenantes concernées.</w:t>
      </w:r>
    </w:p>
    <w:p w14:paraId="665FD44F" w14:textId="77777777" w:rsidR="00797195" w:rsidRDefault="00000000">
      <w:pPr>
        <w:pStyle w:val="Paragraphedeliste"/>
        <w:numPr>
          <w:ilvl w:val="0"/>
          <w:numId w:val="2"/>
        </w:numPr>
        <w:spacing w:after="120" w:line="276" w:lineRule="auto"/>
        <w:jc w:val="both"/>
      </w:pPr>
      <w:r>
        <w:t>Analyse des effets en matière d’autonomie, d’accès aux droits, d’inclusion sociale, d’insertion professionnelle, d’accès aux services, de participation et d’amélioration des conditions de vie.</w:t>
      </w:r>
    </w:p>
    <w:p w14:paraId="0560D762" w14:textId="77777777" w:rsidR="00797195" w:rsidRDefault="00000000">
      <w:pPr>
        <w:pStyle w:val="Paragraphedeliste"/>
        <w:numPr>
          <w:ilvl w:val="0"/>
          <w:numId w:val="2"/>
        </w:numPr>
        <w:spacing w:after="120" w:line="276" w:lineRule="auto"/>
        <w:jc w:val="both"/>
      </w:pPr>
      <w:r>
        <w:t>Élaboration d’un dispositif de suivi-évaluation avec des indicateurs quantitatifs et qualitatifs renseignés à court, moyen et long terme de manière régulière et exhaustive, adéquate pour le domaine du handicap.</w:t>
      </w:r>
    </w:p>
    <w:p w14:paraId="6F3387AA" w14:textId="77777777" w:rsidR="00797195" w:rsidRDefault="00000000">
      <w:pPr>
        <w:pStyle w:val="Paragraphedeliste"/>
        <w:numPr>
          <w:ilvl w:val="0"/>
          <w:numId w:val="2"/>
        </w:numPr>
        <w:spacing w:after="120" w:line="276" w:lineRule="auto"/>
        <w:jc w:val="both"/>
      </w:pPr>
      <w:r>
        <w:t>Réalisation d’une analyse du retour social sur investissement (SROI) afin d’estimer la valeur sociale créée par les interventions du pôle social au regard des ressources mobilisées.</w:t>
      </w:r>
    </w:p>
    <w:p w14:paraId="26E88663" w14:textId="77777777" w:rsidR="00797195" w:rsidRDefault="00000000">
      <w:pPr>
        <w:pStyle w:val="Paragraphedeliste"/>
        <w:numPr>
          <w:ilvl w:val="0"/>
          <w:numId w:val="2"/>
        </w:numPr>
        <w:spacing w:after="120" w:line="276" w:lineRule="auto"/>
        <w:jc w:val="both"/>
      </w:pPr>
      <w:r>
        <w:lastRenderedPageBreak/>
        <w:t>Identification des contraintes, limites, prérequis et besoins en renforcement de capacités de l’AMH pour l’appropriation et la pérennisation du dispositif proposé.</w:t>
      </w:r>
    </w:p>
    <w:p w14:paraId="417840BB" w14:textId="77777777" w:rsidR="00797195" w:rsidRDefault="00797195">
      <w:pPr>
        <w:spacing w:after="60"/>
      </w:pPr>
    </w:p>
    <w:p w14:paraId="3D582BB0" w14:textId="77777777" w:rsidR="00797195" w:rsidRDefault="00000000">
      <w:pPr>
        <w:spacing w:before="200" w:after="120" w:line="276" w:lineRule="auto"/>
        <w:jc w:val="both"/>
      </w:pPr>
      <w:r>
        <w:rPr>
          <w:b/>
          <w:bCs/>
          <w:color w:val="212E98"/>
        </w:rPr>
        <w:t xml:space="preserve">Étape 4 : Restitution, capitalisation et transfert de compétences </w:t>
      </w:r>
      <w:r>
        <w:rPr>
          <w:i/>
          <w:iCs/>
          <w:color w:val="666666"/>
          <w:sz w:val="20"/>
          <w:szCs w:val="20"/>
        </w:rPr>
        <w:t>(S18–S22 | ~4 semaines)</w:t>
      </w:r>
    </w:p>
    <w:p w14:paraId="7A90CC09" w14:textId="77777777" w:rsidR="00797195" w:rsidRDefault="00000000">
      <w:pPr>
        <w:pStyle w:val="Paragraphedeliste"/>
        <w:numPr>
          <w:ilvl w:val="0"/>
          <w:numId w:val="2"/>
        </w:numPr>
        <w:spacing w:after="120" w:line="276" w:lineRule="auto"/>
        <w:jc w:val="both"/>
      </w:pPr>
      <w:r>
        <w:t>Restitutions intermédiaires à l’issue des principales phases de terrain et d’analyse.</w:t>
      </w:r>
    </w:p>
    <w:p w14:paraId="1FF071F4" w14:textId="77777777" w:rsidR="00797195" w:rsidRDefault="00000000">
      <w:pPr>
        <w:pStyle w:val="Paragraphedeliste"/>
        <w:numPr>
          <w:ilvl w:val="0"/>
          <w:numId w:val="2"/>
        </w:numPr>
        <w:spacing w:after="120" w:line="276" w:lineRule="auto"/>
        <w:jc w:val="both"/>
      </w:pPr>
      <w:r>
        <w:t>Animation d’un atelier de restitution et de validation des résultats avec l’AMH.</w:t>
      </w:r>
    </w:p>
    <w:p w14:paraId="66505AB5" w14:textId="77777777" w:rsidR="00797195" w:rsidRDefault="00000000">
      <w:pPr>
        <w:pStyle w:val="Paragraphedeliste"/>
        <w:numPr>
          <w:ilvl w:val="0"/>
          <w:numId w:val="2"/>
        </w:numPr>
        <w:spacing w:after="120" w:line="276" w:lineRule="auto"/>
        <w:jc w:val="both"/>
      </w:pPr>
      <w:r>
        <w:t>Élaboration d’un rapport provisoire présentant les résultats de l’étude d’impact, les principaux constats, les enseignements tirés et les premières recommandations.</w:t>
      </w:r>
    </w:p>
    <w:p w14:paraId="33B4AD05" w14:textId="77777777" w:rsidR="00797195" w:rsidRDefault="00000000">
      <w:pPr>
        <w:pStyle w:val="Paragraphedeliste"/>
        <w:numPr>
          <w:ilvl w:val="0"/>
          <w:numId w:val="2"/>
        </w:numPr>
        <w:spacing w:after="120" w:line="276" w:lineRule="auto"/>
        <w:jc w:val="both"/>
      </w:pPr>
      <w:r>
        <w:t>Élaboration d’un rapport final intégrant l’analyse approfondie des résultats, les recommandations opérationnelles et stratégiques, les perspectives d’amélioration ainsi qu’un plan d’action.</w:t>
      </w:r>
    </w:p>
    <w:p w14:paraId="355E556F" w14:textId="77777777" w:rsidR="00797195" w:rsidRDefault="00000000">
      <w:pPr>
        <w:pStyle w:val="Paragraphedeliste"/>
        <w:numPr>
          <w:ilvl w:val="0"/>
          <w:numId w:val="2"/>
        </w:numPr>
        <w:spacing w:after="120" w:line="276" w:lineRule="auto"/>
        <w:jc w:val="both"/>
      </w:pPr>
      <w:r>
        <w:t>Présentation des résultats de l’analyse du retour social sur investissement (SROI), de ses hypothèses, de ses limites et de ses principaux enseignements.</w:t>
      </w:r>
    </w:p>
    <w:p w14:paraId="7F005B23" w14:textId="77777777" w:rsidR="00797195" w:rsidRDefault="00000000">
      <w:pPr>
        <w:pStyle w:val="Paragraphedeliste"/>
        <w:numPr>
          <w:ilvl w:val="0"/>
          <w:numId w:val="2"/>
        </w:numPr>
        <w:spacing w:after="120" w:line="276" w:lineRule="auto"/>
        <w:jc w:val="both"/>
      </w:pPr>
      <w:r>
        <w:t>Appui à l’appropriation et à la mise en œuvre du dispositif de suivi-évaluation par les équipes de l’Association.</w:t>
      </w:r>
    </w:p>
    <w:p w14:paraId="4BB5496C" w14:textId="77777777" w:rsidR="00797195" w:rsidRDefault="00000000">
      <w:pPr>
        <w:pStyle w:val="Paragraphedeliste"/>
        <w:numPr>
          <w:ilvl w:val="0"/>
          <w:numId w:val="2"/>
        </w:numPr>
        <w:spacing w:after="120" w:line="276" w:lineRule="auto"/>
        <w:jc w:val="both"/>
      </w:pPr>
      <w:r>
        <w:t>Consolidation des résultats sur une note de synthèse et de capitalisation.</w:t>
      </w:r>
    </w:p>
    <w:p w14:paraId="04CE89E2" w14:textId="77777777" w:rsidR="00797195" w:rsidRDefault="00000000">
      <w:pPr>
        <w:pBdr>
          <w:bottom w:val="single" w:sz="2" w:space="0" w:color="212E98"/>
        </w:pBdr>
        <w:spacing w:before="360" w:after="200" w:line="276" w:lineRule="auto"/>
        <w:jc w:val="both"/>
      </w:pPr>
      <w:r>
        <w:rPr>
          <w:b/>
          <w:bCs/>
          <w:color w:val="212E98"/>
          <w:sz w:val="24"/>
          <w:szCs w:val="24"/>
        </w:rPr>
        <w:t>Article 4 : Livrables attendus</w:t>
      </w:r>
    </w:p>
    <w:p w14:paraId="028C47D2" w14:textId="77777777" w:rsidR="00797195" w:rsidRDefault="00000000">
      <w:pPr>
        <w:spacing w:after="120" w:line="276" w:lineRule="auto"/>
        <w:jc w:val="both"/>
      </w:pPr>
      <w:r>
        <w:t>Il est attendu que les livrables fassent ressortir, à titre non limitatif, les points clés suivants pour chaque phase :</w:t>
      </w:r>
    </w:p>
    <w:p w14:paraId="5AABF6EA" w14:textId="77777777" w:rsidR="00797195" w:rsidRDefault="00000000">
      <w:pPr>
        <w:spacing w:before="200" w:after="120" w:line="276" w:lineRule="auto"/>
        <w:jc w:val="both"/>
      </w:pPr>
      <w:r>
        <w:rPr>
          <w:b/>
          <w:bCs/>
        </w:rPr>
        <w:t>Phase de cadrage</w:t>
      </w:r>
    </w:p>
    <w:p w14:paraId="122C4E9F" w14:textId="77777777" w:rsidR="00797195" w:rsidRDefault="00000000">
      <w:pPr>
        <w:pStyle w:val="Paragraphedeliste"/>
        <w:numPr>
          <w:ilvl w:val="0"/>
          <w:numId w:val="2"/>
        </w:numPr>
        <w:spacing w:after="120" w:line="276" w:lineRule="auto"/>
        <w:jc w:val="both"/>
      </w:pPr>
      <w:r>
        <w:t>Une note de cadrage pour l’ensemble de la mission, comprenant au minimum :</w:t>
      </w:r>
    </w:p>
    <w:p w14:paraId="48D0EB8C" w14:textId="77777777" w:rsidR="00797195" w:rsidRDefault="00000000">
      <w:pPr>
        <w:pStyle w:val="Paragraphedeliste"/>
        <w:numPr>
          <w:ilvl w:val="0"/>
          <w:numId w:val="4"/>
        </w:numPr>
        <w:spacing w:after="120" w:line="276" w:lineRule="auto"/>
        <w:jc w:val="both"/>
      </w:pPr>
      <w:proofErr w:type="gramStart"/>
      <w:r>
        <w:t>la</w:t>
      </w:r>
      <w:proofErr w:type="gramEnd"/>
      <w:r>
        <w:t xml:space="preserve"> compréhension du contexte, des enjeux et du périmètre d’intervention du pôle social ;</w:t>
      </w:r>
    </w:p>
    <w:p w14:paraId="11E94622" w14:textId="77777777" w:rsidR="00797195" w:rsidRDefault="00000000">
      <w:pPr>
        <w:pStyle w:val="Paragraphedeliste"/>
        <w:numPr>
          <w:ilvl w:val="0"/>
          <w:numId w:val="4"/>
        </w:numPr>
        <w:spacing w:after="120" w:line="276" w:lineRule="auto"/>
        <w:jc w:val="both"/>
      </w:pPr>
      <w:proofErr w:type="gramStart"/>
      <w:r>
        <w:t>la</w:t>
      </w:r>
      <w:proofErr w:type="gramEnd"/>
      <w:r>
        <w:t xml:space="preserve"> méthodologie retenue pour l’étude d’impact et pour l’analyse du retour social sur investissement (SROI) ;</w:t>
      </w:r>
    </w:p>
    <w:p w14:paraId="3D344BE3" w14:textId="77777777" w:rsidR="00797195" w:rsidRDefault="00000000">
      <w:pPr>
        <w:pStyle w:val="Paragraphedeliste"/>
        <w:numPr>
          <w:ilvl w:val="0"/>
          <w:numId w:val="4"/>
        </w:numPr>
        <w:spacing w:after="120" w:line="276" w:lineRule="auto"/>
        <w:jc w:val="both"/>
      </w:pPr>
      <w:proofErr w:type="gramStart"/>
      <w:r>
        <w:t>le</w:t>
      </w:r>
      <w:proofErr w:type="gramEnd"/>
      <w:r>
        <w:t xml:space="preserve"> calendrier détaillé des principales étapes ;</w:t>
      </w:r>
    </w:p>
    <w:p w14:paraId="1A500C86" w14:textId="77777777" w:rsidR="00797195" w:rsidRDefault="00000000">
      <w:pPr>
        <w:pStyle w:val="Paragraphedeliste"/>
        <w:numPr>
          <w:ilvl w:val="0"/>
          <w:numId w:val="4"/>
        </w:numPr>
        <w:spacing w:after="120" w:line="276" w:lineRule="auto"/>
        <w:jc w:val="both"/>
      </w:pPr>
      <w:proofErr w:type="gramStart"/>
      <w:r>
        <w:t>la</w:t>
      </w:r>
      <w:proofErr w:type="gramEnd"/>
      <w:r>
        <w:t xml:space="preserve"> description des modalités de coordination avec l’AMH ;</w:t>
      </w:r>
    </w:p>
    <w:p w14:paraId="0BFD27FB" w14:textId="77777777" w:rsidR="00797195" w:rsidRDefault="00000000">
      <w:pPr>
        <w:pStyle w:val="Paragraphedeliste"/>
        <w:numPr>
          <w:ilvl w:val="0"/>
          <w:numId w:val="4"/>
        </w:numPr>
        <w:spacing w:after="120" w:line="276" w:lineRule="auto"/>
        <w:jc w:val="both"/>
      </w:pPr>
      <w:proofErr w:type="gramStart"/>
      <w:r>
        <w:t>une</w:t>
      </w:r>
      <w:proofErr w:type="gramEnd"/>
      <w:r>
        <w:t xml:space="preserve"> première matrice d’analyse présentant les objectifs, résultats, effets et impacts attendus ;</w:t>
      </w:r>
    </w:p>
    <w:p w14:paraId="09F37D9C" w14:textId="77777777" w:rsidR="00797195" w:rsidRDefault="00000000">
      <w:pPr>
        <w:pStyle w:val="Paragraphedeliste"/>
        <w:numPr>
          <w:ilvl w:val="0"/>
          <w:numId w:val="4"/>
        </w:numPr>
        <w:spacing w:after="120" w:line="276" w:lineRule="auto"/>
        <w:jc w:val="both"/>
      </w:pPr>
      <w:proofErr w:type="gramStart"/>
      <w:r>
        <w:t>une</w:t>
      </w:r>
      <w:proofErr w:type="gramEnd"/>
      <w:r>
        <w:t xml:space="preserve"> cartographie préliminaire des parties prenantes concernées par les services du pôle social.</w:t>
      </w:r>
    </w:p>
    <w:p w14:paraId="5D2690B4" w14:textId="77777777" w:rsidR="00797195" w:rsidRDefault="00000000">
      <w:pPr>
        <w:spacing w:before="200" w:after="120" w:line="276" w:lineRule="auto"/>
        <w:jc w:val="both"/>
      </w:pPr>
      <w:r>
        <w:rPr>
          <w:b/>
          <w:bCs/>
        </w:rPr>
        <w:t>Suivi de la mission</w:t>
      </w:r>
    </w:p>
    <w:p w14:paraId="2B8A2AB9" w14:textId="77777777" w:rsidR="00797195" w:rsidRDefault="00000000">
      <w:pPr>
        <w:pStyle w:val="Paragraphedeliste"/>
        <w:numPr>
          <w:ilvl w:val="0"/>
          <w:numId w:val="2"/>
        </w:numPr>
        <w:spacing w:after="120" w:line="276" w:lineRule="auto"/>
        <w:jc w:val="both"/>
      </w:pPr>
      <w:r>
        <w:lastRenderedPageBreak/>
        <w:t>Des comptes rendus des réunions de cadrage et de suivi avec l’AMH, incluant les décisions prises et les éventuels ajustements méthodologiques ;</w:t>
      </w:r>
    </w:p>
    <w:p w14:paraId="6E95D32C" w14:textId="77777777" w:rsidR="00797195" w:rsidRDefault="00000000">
      <w:pPr>
        <w:pStyle w:val="Paragraphedeliste"/>
        <w:numPr>
          <w:ilvl w:val="0"/>
          <w:numId w:val="2"/>
        </w:numPr>
        <w:spacing w:after="120" w:line="276" w:lineRule="auto"/>
        <w:jc w:val="both"/>
      </w:pPr>
      <w:r>
        <w:t>Le cas échéant, de brèves notes de restitution à chaud à l’issue des principales séquences de terrain ou d’analyse ;</w:t>
      </w:r>
    </w:p>
    <w:p w14:paraId="04D32245" w14:textId="77777777" w:rsidR="00797195" w:rsidRDefault="00000000">
      <w:pPr>
        <w:pStyle w:val="Paragraphedeliste"/>
        <w:numPr>
          <w:ilvl w:val="0"/>
          <w:numId w:val="2"/>
        </w:numPr>
        <w:spacing w:after="120" w:line="276" w:lineRule="auto"/>
        <w:jc w:val="both"/>
      </w:pPr>
      <w:r>
        <w:t>Des points d’étape synthétiques retraçant l’état d’avancement de la mission, les difficultés rencontrées et les mesures correctives proposées.</w:t>
      </w:r>
    </w:p>
    <w:p w14:paraId="32D6581B" w14:textId="77777777" w:rsidR="00797195" w:rsidRDefault="00000000">
      <w:pPr>
        <w:spacing w:before="200" w:after="120" w:line="276" w:lineRule="auto"/>
        <w:jc w:val="both"/>
      </w:pPr>
      <w:r>
        <w:rPr>
          <w:b/>
          <w:bCs/>
        </w:rPr>
        <w:t>Analyse et évaluation d’impact</w:t>
      </w:r>
    </w:p>
    <w:p w14:paraId="63FECFA2" w14:textId="77777777" w:rsidR="00797195" w:rsidRDefault="00000000">
      <w:pPr>
        <w:pStyle w:val="Paragraphedeliste"/>
        <w:numPr>
          <w:ilvl w:val="0"/>
          <w:numId w:val="2"/>
        </w:numPr>
        <w:spacing w:after="120" w:line="276" w:lineRule="auto"/>
        <w:jc w:val="both"/>
      </w:pPr>
      <w:r>
        <w:t>Un rapport d’analyse de la mise en œuvre des actions du pôle social, décrivant notamment :</w:t>
      </w:r>
    </w:p>
    <w:p w14:paraId="41707329" w14:textId="77777777" w:rsidR="00797195" w:rsidRDefault="00000000">
      <w:pPr>
        <w:pStyle w:val="Paragraphedeliste"/>
        <w:numPr>
          <w:ilvl w:val="0"/>
          <w:numId w:val="4"/>
        </w:numPr>
        <w:spacing w:after="120" w:line="276" w:lineRule="auto"/>
        <w:jc w:val="both"/>
      </w:pPr>
      <w:proofErr w:type="gramStart"/>
      <w:r>
        <w:t>le</w:t>
      </w:r>
      <w:proofErr w:type="gramEnd"/>
      <w:r>
        <w:t xml:space="preserve"> contexte d’intervention ;</w:t>
      </w:r>
    </w:p>
    <w:p w14:paraId="11FEC8A9" w14:textId="77777777" w:rsidR="00797195" w:rsidRDefault="00000000">
      <w:pPr>
        <w:pStyle w:val="Paragraphedeliste"/>
        <w:numPr>
          <w:ilvl w:val="0"/>
          <w:numId w:val="4"/>
        </w:numPr>
        <w:spacing w:after="120" w:line="276" w:lineRule="auto"/>
        <w:jc w:val="both"/>
      </w:pPr>
      <w:proofErr w:type="gramStart"/>
      <w:r>
        <w:t>l’organisation</w:t>
      </w:r>
      <w:proofErr w:type="gramEnd"/>
      <w:r>
        <w:t xml:space="preserve"> et les modalités de déploiement des services des guichets ;</w:t>
      </w:r>
    </w:p>
    <w:p w14:paraId="7664A9EC" w14:textId="77777777" w:rsidR="00797195" w:rsidRDefault="00000000">
      <w:pPr>
        <w:pStyle w:val="Paragraphedeliste"/>
        <w:numPr>
          <w:ilvl w:val="0"/>
          <w:numId w:val="4"/>
        </w:numPr>
        <w:spacing w:after="120" w:line="276" w:lineRule="auto"/>
        <w:jc w:val="both"/>
      </w:pPr>
      <w:proofErr w:type="gramStart"/>
      <w:r>
        <w:t>les</w:t>
      </w:r>
      <w:proofErr w:type="gramEnd"/>
      <w:r>
        <w:t xml:space="preserve"> principaux acteurs impliqués et leurs rôles ;</w:t>
      </w:r>
    </w:p>
    <w:p w14:paraId="0ED7BB39" w14:textId="77777777" w:rsidR="00797195" w:rsidRDefault="00000000">
      <w:pPr>
        <w:pStyle w:val="Paragraphedeliste"/>
        <w:numPr>
          <w:ilvl w:val="0"/>
          <w:numId w:val="4"/>
        </w:numPr>
        <w:spacing w:after="120" w:line="276" w:lineRule="auto"/>
        <w:jc w:val="both"/>
      </w:pPr>
      <w:proofErr w:type="gramStart"/>
      <w:r>
        <w:t>les</w:t>
      </w:r>
      <w:proofErr w:type="gramEnd"/>
      <w:r>
        <w:t xml:space="preserve"> facteurs favorables, les contraintes et les limites observées ;</w:t>
      </w:r>
    </w:p>
    <w:p w14:paraId="0536302F" w14:textId="77777777" w:rsidR="00797195" w:rsidRDefault="00000000">
      <w:pPr>
        <w:pStyle w:val="Paragraphedeliste"/>
        <w:numPr>
          <w:ilvl w:val="0"/>
          <w:numId w:val="2"/>
        </w:numPr>
        <w:spacing w:after="120" w:line="276" w:lineRule="auto"/>
        <w:jc w:val="both"/>
      </w:pPr>
      <w:r>
        <w:t>Un rapport provisoire d’évaluation d’impact, soumis au comité de suivi, comportant :</w:t>
      </w:r>
    </w:p>
    <w:p w14:paraId="0AE33094" w14:textId="77777777" w:rsidR="00797195" w:rsidRDefault="00000000">
      <w:pPr>
        <w:pStyle w:val="Paragraphedeliste"/>
        <w:numPr>
          <w:ilvl w:val="0"/>
          <w:numId w:val="4"/>
        </w:numPr>
        <w:spacing w:after="120" w:line="276" w:lineRule="auto"/>
        <w:jc w:val="both"/>
      </w:pPr>
      <w:proofErr w:type="gramStart"/>
      <w:r>
        <w:t>une</w:t>
      </w:r>
      <w:proofErr w:type="gramEnd"/>
      <w:r>
        <w:t xml:space="preserve"> analyse préliminaire des effets observés ;</w:t>
      </w:r>
    </w:p>
    <w:p w14:paraId="48CB4567" w14:textId="77777777" w:rsidR="00797195" w:rsidRDefault="00000000">
      <w:pPr>
        <w:pStyle w:val="Paragraphedeliste"/>
        <w:numPr>
          <w:ilvl w:val="0"/>
          <w:numId w:val="4"/>
        </w:numPr>
        <w:spacing w:after="120" w:line="276" w:lineRule="auto"/>
        <w:jc w:val="both"/>
      </w:pPr>
      <w:proofErr w:type="gramStart"/>
      <w:r>
        <w:t>les</w:t>
      </w:r>
      <w:proofErr w:type="gramEnd"/>
      <w:r>
        <w:t xml:space="preserve"> premiers enseignements issus des données collectées ;</w:t>
      </w:r>
    </w:p>
    <w:p w14:paraId="39325DA1" w14:textId="77777777" w:rsidR="00797195" w:rsidRDefault="00000000">
      <w:pPr>
        <w:pStyle w:val="Paragraphedeliste"/>
        <w:numPr>
          <w:ilvl w:val="0"/>
          <w:numId w:val="4"/>
        </w:numPr>
        <w:spacing w:after="120" w:line="276" w:lineRule="auto"/>
        <w:jc w:val="both"/>
      </w:pPr>
      <w:proofErr w:type="gramStart"/>
      <w:r>
        <w:t>les</w:t>
      </w:r>
      <w:proofErr w:type="gramEnd"/>
      <w:r>
        <w:t xml:space="preserve"> points nécessitant des approfondissements ou validations complémentaires ;</w:t>
      </w:r>
    </w:p>
    <w:p w14:paraId="5C3EC1D4" w14:textId="77777777" w:rsidR="00797195" w:rsidRDefault="00000000">
      <w:pPr>
        <w:pStyle w:val="Paragraphedeliste"/>
        <w:numPr>
          <w:ilvl w:val="0"/>
          <w:numId w:val="2"/>
        </w:numPr>
        <w:spacing w:after="120" w:line="276" w:lineRule="auto"/>
        <w:jc w:val="both"/>
      </w:pPr>
      <w:r>
        <w:t>Un rapport final d’évaluation d’impact détaillé, comprenant au minimum :</w:t>
      </w:r>
    </w:p>
    <w:p w14:paraId="6E9EC1C5" w14:textId="77777777" w:rsidR="00797195" w:rsidRDefault="00000000">
      <w:pPr>
        <w:pStyle w:val="Paragraphedeliste"/>
        <w:numPr>
          <w:ilvl w:val="0"/>
          <w:numId w:val="4"/>
        </w:numPr>
        <w:spacing w:after="120" w:line="276" w:lineRule="auto"/>
        <w:jc w:val="both"/>
      </w:pPr>
      <w:proofErr w:type="gramStart"/>
      <w:r>
        <w:t>la</w:t>
      </w:r>
      <w:proofErr w:type="gramEnd"/>
      <w:r>
        <w:t xml:space="preserve"> description de la méthodologie mise en œuvre ;</w:t>
      </w:r>
    </w:p>
    <w:p w14:paraId="5B7CA803" w14:textId="77777777" w:rsidR="00797195" w:rsidRDefault="00000000">
      <w:pPr>
        <w:pStyle w:val="Paragraphedeliste"/>
        <w:numPr>
          <w:ilvl w:val="0"/>
          <w:numId w:val="4"/>
        </w:numPr>
        <w:spacing w:after="120" w:line="276" w:lineRule="auto"/>
        <w:jc w:val="both"/>
      </w:pPr>
      <w:proofErr w:type="gramStart"/>
      <w:r>
        <w:t>la</w:t>
      </w:r>
      <w:proofErr w:type="gramEnd"/>
      <w:r>
        <w:t xml:space="preserve"> présentation et l’analyse des résultats, notamment les effets sociaux, économiques, organisationnels et d’inclusion ;</w:t>
      </w:r>
    </w:p>
    <w:p w14:paraId="58466842" w14:textId="77777777" w:rsidR="00797195" w:rsidRDefault="00000000">
      <w:pPr>
        <w:pStyle w:val="Paragraphedeliste"/>
        <w:numPr>
          <w:ilvl w:val="0"/>
          <w:numId w:val="4"/>
        </w:numPr>
        <w:spacing w:after="120" w:line="276" w:lineRule="auto"/>
        <w:jc w:val="both"/>
      </w:pPr>
      <w:proofErr w:type="gramStart"/>
      <w:r>
        <w:t>une</w:t>
      </w:r>
      <w:proofErr w:type="gramEnd"/>
      <w:r>
        <w:t xml:space="preserve"> lecture critique des limites de l’étude et des précautions d’interprétation ;</w:t>
      </w:r>
    </w:p>
    <w:p w14:paraId="201A9EC5" w14:textId="77777777" w:rsidR="00797195" w:rsidRDefault="00000000">
      <w:pPr>
        <w:pStyle w:val="Paragraphedeliste"/>
        <w:numPr>
          <w:ilvl w:val="0"/>
          <w:numId w:val="4"/>
        </w:numPr>
        <w:spacing w:after="120" w:line="276" w:lineRule="auto"/>
        <w:jc w:val="both"/>
      </w:pPr>
      <w:proofErr w:type="gramStart"/>
      <w:r>
        <w:t>des</w:t>
      </w:r>
      <w:proofErr w:type="gramEnd"/>
      <w:r>
        <w:t xml:space="preserve"> recommandations opérationnelles pour le renforcement, l’amélioration, la pérennisation ou l’extension des actions du pôle social.</w:t>
      </w:r>
    </w:p>
    <w:p w14:paraId="3849A988" w14:textId="77777777" w:rsidR="00797195" w:rsidRDefault="00000000">
      <w:pPr>
        <w:spacing w:before="200" w:after="120" w:line="276" w:lineRule="auto"/>
        <w:jc w:val="both"/>
      </w:pPr>
      <w:r>
        <w:rPr>
          <w:b/>
          <w:bCs/>
        </w:rPr>
        <w:t>Analyse du retour social sur investissement (SROI)</w:t>
      </w:r>
    </w:p>
    <w:p w14:paraId="7CF9A88F" w14:textId="77777777" w:rsidR="00797195" w:rsidRDefault="00000000">
      <w:pPr>
        <w:pStyle w:val="Paragraphedeliste"/>
        <w:numPr>
          <w:ilvl w:val="0"/>
          <w:numId w:val="2"/>
        </w:numPr>
        <w:spacing w:after="120" w:line="276" w:lineRule="auto"/>
        <w:jc w:val="both"/>
      </w:pPr>
      <w:r>
        <w:t>Une note méthodologique dédiée précisant l’approche retenue pour l’analyse du retour social sur investissement (SROI), les hypothèses de calcul, les sources mobilisées et les limites de l’exercice ;</w:t>
      </w:r>
    </w:p>
    <w:p w14:paraId="10C47435" w14:textId="77777777" w:rsidR="00797195" w:rsidRDefault="00000000">
      <w:pPr>
        <w:pStyle w:val="Paragraphedeliste"/>
        <w:numPr>
          <w:ilvl w:val="0"/>
          <w:numId w:val="2"/>
        </w:numPr>
        <w:spacing w:after="120" w:line="276" w:lineRule="auto"/>
        <w:jc w:val="both"/>
      </w:pPr>
      <w:r>
        <w:t>Une analyse du retour social sur investissement (SROI) permettant :</w:t>
      </w:r>
    </w:p>
    <w:p w14:paraId="5BAACB47" w14:textId="77777777" w:rsidR="00797195" w:rsidRDefault="00000000">
      <w:pPr>
        <w:pStyle w:val="Paragraphedeliste"/>
        <w:numPr>
          <w:ilvl w:val="0"/>
          <w:numId w:val="4"/>
        </w:numPr>
        <w:spacing w:after="120" w:line="276" w:lineRule="auto"/>
        <w:jc w:val="both"/>
      </w:pPr>
      <w:proofErr w:type="gramStart"/>
      <w:r>
        <w:t>d’estimer</w:t>
      </w:r>
      <w:proofErr w:type="gramEnd"/>
      <w:r>
        <w:t xml:space="preserve"> la valeur sociale créée par les interventions du pôle social ;</w:t>
      </w:r>
    </w:p>
    <w:p w14:paraId="42453B35" w14:textId="77777777" w:rsidR="00797195" w:rsidRDefault="00000000">
      <w:pPr>
        <w:pStyle w:val="Paragraphedeliste"/>
        <w:numPr>
          <w:ilvl w:val="0"/>
          <w:numId w:val="4"/>
        </w:numPr>
        <w:spacing w:after="120" w:line="276" w:lineRule="auto"/>
        <w:jc w:val="both"/>
      </w:pPr>
      <w:proofErr w:type="gramStart"/>
      <w:r>
        <w:t>d’apprécier</w:t>
      </w:r>
      <w:proofErr w:type="gramEnd"/>
      <w:r>
        <w:t xml:space="preserve"> cette valeur au regard des ressources mobilisées ;</w:t>
      </w:r>
    </w:p>
    <w:p w14:paraId="74FD46FA" w14:textId="77777777" w:rsidR="00797195" w:rsidRDefault="00000000">
      <w:pPr>
        <w:pStyle w:val="Paragraphedeliste"/>
        <w:numPr>
          <w:ilvl w:val="0"/>
          <w:numId w:val="4"/>
        </w:numPr>
        <w:spacing w:after="120" w:line="276" w:lineRule="auto"/>
        <w:jc w:val="both"/>
      </w:pPr>
      <w:proofErr w:type="gramStart"/>
      <w:r>
        <w:t>d’identifier</w:t>
      </w:r>
      <w:proofErr w:type="gramEnd"/>
      <w:r>
        <w:t>, lorsque cela est pertinent, les principaux effets pouvant être traduits en valeur monétaire ;</w:t>
      </w:r>
    </w:p>
    <w:p w14:paraId="3398E626" w14:textId="77777777" w:rsidR="00797195" w:rsidRDefault="00000000">
      <w:pPr>
        <w:pStyle w:val="Paragraphedeliste"/>
        <w:numPr>
          <w:ilvl w:val="0"/>
          <w:numId w:val="4"/>
        </w:numPr>
        <w:spacing w:after="120" w:line="276" w:lineRule="auto"/>
        <w:jc w:val="both"/>
      </w:pPr>
      <w:proofErr w:type="gramStart"/>
      <w:r>
        <w:lastRenderedPageBreak/>
        <w:t>d’expliciter</w:t>
      </w:r>
      <w:proofErr w:type="gramEnd"/>
      <w:r>
        <w:t xml:space="preserve"> les hypothèses, les choix méthodologiques et les précautions d’interprétation ;</w:t>
      </w:r>
    </w:p>
    <w:p w14:paraId="0BC20711" w14:textId="77777777" w:rsidR="00797195" w:rsidRDefault="00000000">
      <w:pPr>
        <w:pStyle w:val="Paragraphedeliste"/>
        <w:numPr>
          <w:ilvl w:val="0"/>
          <w:numId w:val="2"/>
        </w:numPr>
        <w:spacing w:after="120" w:line="276" w:lineRule="auto"/>
        <w:jc w:val="both"/>
      </w:pPr>
      <w:r>
        <w:t>Un support de calcul exploitable, sous format modifiable, permettant à l’AMH de comprendre et, le cas échéant, d’actualiser l’analyse produite.</w:t>
      </w:r>
    </w:p>
    <w:p w14:paraId="2D95C0B0" w14:textId="77777777" w:rsidR="00797195" w:rsidRDefault="00000000">
      <w:pPr>
        <w:spacing w:before="200" w:after="120" w:line="276" w:lineRule="auto"/>
        <w:jc w:val="both"/>
      </w:pPr>
      <w:r>
        <w:rPr>
          <w:b/>
          <w:bCs/>
        </w:rPr>
        <w:t>Dispositif de suivi-évaluation</w:t>
      </w:r>
    </w:p>
    <w:p w14:paraId="650DEB8A" w14:textId="77777777" w:rsidR="00797195" w:rsidRDefault="00000000">
      <w:pPr>
        <w:pStyle w:val="Paragraphedeliste"/>
        <w:numPr>
          <w:ilvl w:val="0"/>
          <w:numId w:val="2"/>
        </w:numPr>
        <w:spacing w:after="120" w:line="276" w:lineRule="auto"/>
        <w:jc w:val="both"/>
      </w:pPr>
      <w:r>
        <w:t>Un dispositif de suivi-évaluation opérationnel comprenant au minimum :</w:t>
      </w:r>
    </w:p>
    <w:p w14:paraId="6211F189" w14:textId="77777777" w:rsidR="00797195" w:rsidRDefault="00000000">
      <w:pPr>
        <w:pStyle w:val="Paragraphedeliste"/>
        <w:numPr>
          <w:ilvl w:val="0"/>
          <w:numId w:val="4"/>
        </w:numPr>
        <w:spacing w:after="120" w:line="276" w:lineRule="auto"/>
        <w:jc w:val="both"/>
      </w:pPr>
      <w:proofErr w:type="gramStart"/>
      <w:r>
        <w:t>un</w:t>
      </w:r>
      <w:proofErr w:type="gramEnd"/>
      <w:r>
        <w:t xml:space="preserve"> référentiel d’indicateurs, avec leurs définitions, modalités de calcul, sources, fréquences de collecte et responsabilités ;</w:t>
      </w:r>
    </w:p>
    <w:p w14:paraId="656BFDE4" w14:textId="77777777" w:rsidR="00797195" w:rsidRDefault="00000000">
      <w:pPr>
        <w:pStyle w:val="Paragraphedeliste"/>
        <w:numPr>
          <w:ilvl w:val="0"/>
          <w:numId w:val="4"/>
        </w:numPr>
        <w:spacing w:after="120" w:line="276" w:lineRule="auto"/>
        <w:jc w:val="both"/>
      </w:pPr>
      <w:proofErr w:type="gramStart"/>
      <w:r>
        <w:t>un</w:t>
      </w:r>
      <w:proofErr w:type="gramEnd"/>
      <w:r>
        <w:t xml:space="preserve"> ou plusieurs tableaux de bord adaptés aux besoins de pilotage du pôle social ;</w:t>
      </w:r>
    </w:p>
    <w:p w14:paraId="7AF80DF5" w14:textId="77777777" w:rsidR="00797195" w:rsidRDefault="00000000">
      <w:pPr>
        <w:pStyle w:val="Paragraphedeliste"/>
        <w:numPr>
          <w:ilvl w:val="0"/>
          <w:numId w:val="4"/>
        </w:numPr>
        <w:spacing w:after="120" w:line="276" w:lineRule="auto"/>
        <w:jc w:val="both"/>
      </w:pPr>
      <w:proofErr w:type="gramStart"/>
      <w:r>
        <w:t>un</w:t>
      </w:r>
      <w:proofErr w:type="gramEnd"/>
      <w:r>
        <w:t xml:space="preserve"> protocole de collecte, de traitement, de consolidation et d’archivage des données ;</w:t>
      </w:r>
    </w:p>
    <w:p w14:paraId="193C730E" w14:textId="77777777" w:rsidR="00797195" w:rsidRDefault="00000000">
      <w:pPr>
        <w:pStyle w:val="Paragraphedeliste"/>
        <w:numPr>
          <w:ilvl w:val="0"/>
          <w:numId w:val="4"/>
        </w:numPr>
        <w:spacing w:after="120" w:line="276" w:lineRule="auto"/>
        <w:jc w:val="both"/>
      </w:pPr>
      <w:proofErr w:type="gramStart"/>
      <w:r>
        <w:t>un</w:t>
      </w:r>
      <w:proofErr w:type="gramEnd"/>
      <w:r>
        <w:t xml:space="preserve"> guide d’utilisation du dispositif précisant son fonctionnement, les rôles de chacun et les modalités de mise à jour.</w:t>
      </w:r>
    </w:p>
    <w:p w14:paraId="3F16AE16" w14:textId="77777777" w:rsidR="00797195" w:rsidRDefault="00000000">
      <w:pPr>
        <w:spacing w:before="200" w:after="120" w:line="276" w:lineRule="auto"/>
        <w:jc w:val="both"/>
      </w:pPr>
      <w:r>
        <w:rPr>
          <w:b/>
          <w:bCs/>
        </w:rPr>
        <w:t>Restitution, capitalisation et transfert de compétences</w:t>
      </w:r>
    </w:p>
    <w:p w14:paraId="64215F33" w14:textId="77777777" w:rsidR="00797195" w:rsidRDefault="00000000">
      <w:pPr>
        <w:pStyle w:val="Paragraphedeliste"/>
        <w:numPr>
          <w:ilvl w:val="0"/>
          <w:numId w:val="2"/>
        </w:numPr>
        <w:spacing w:after="120" w:line="276" w:lineRule="auto"/>
        <w:jc w:val="both"/>
      </w:pPr>
      <w:r>
        <w:t>Une présentation de restitution des résultats à la Fondation CDG et à l’AMH, synthétisant la démarche, les principaux constats, les résultats, les enseignements et les recommandations ;</w:t>
      </w:r>
    </w:p>
    <w:p w14:paraId="6F4E263B" w14:textId="77777777" w:rsidR="00797195" w:rsidRDefault="00000000">
      <w:pPr>
        <w:pStyle w:val="Paragraphedeliste"/>
        <w:numPr>
          <w:ilvl w:val="0"/>
          <w:numId w:val="2"/>
        </w:numPr>
        <w:spacing w:after="120" w:line="276" w:lineRule="auto"/>
        <w:jc w:val="both"/>
      </w:pPr>
      <w:r>
        <w:t>Une note de synthèse transversale ou un rapport de capitalisation, mettant en évidence :</w:t>
      </w:r>
    </w:p>
    <w:p w14:paraId="241D8532" w14:textId="77777777" w:rsidR="00797195" w:rsidRDefault="00000000">
      <w:pPr>
        <w:pStyle w:val="Paragraphedeliste"/>
        <w:numPr>
          <w:ilvl w:val="0"/>
          <w:numId w:val="4"/>
        </w:numPr>
        <w:spacing w:after="120" w:line="276" w:lineRule="auto"/>
        <w:jc w:val="both"/>
      </w:pPr>
      <w:proofErr w:type="gramStart"/>
      <w:r>
        <w:t>les</w:t>
      </w:r>
      <w:proofErr w:type="gramEnd"/>
      <w:r>
        <w:t xml:space="preserve"> principaux enseignements issus de la mission ;</w:t>
      </w:r>
    </w:p>
    <w:p w14:paraId="1B8B880A" w14:textId="77777777" w:rsidR="00797195" w:rsidRDefault="00000000">
      <w:pPr>
        <w:pStyle w:val="Paragraphedeliste"/>
        <w:numPr>
          <w:ilvl w:val="0"/>
          <w:numId w:val="4"/>
        </w:numPr>
        <w:spacing w:after="120" w:line="276" w:lineRule="auto"/>
        <w:jc w:val="both"/>
      </w:pPr>
      <w:proofErr w:type="gramStart"/>
      <w:r>
        <w:t>les</w:t>
      </w:r>
      <w:proofErr w:type="gramEnd"/>
      <w:r>
        <w:t xml:space="preserve"> points d’attention pour le pilotage futur du pôle social ;</w:t>
      </w:r>
    </w:p>
    <w:p w14:paraId="52EE95F0" w14:textId="77777777" w:rsidR="00797195" w:rsidRDefault="00000000">
      <w:pPr>
        <w:pStyle w:val="Paragraphedeliste"/>
        <w:numPr>
          <w:ilvl w:val="0"/>
          <w:numId w:val="4"/>
        </w:numPr>
        <w:spacing w:after="120" w:line="276" w:lineRule="auto"/>
        <w:jc w:val="both"/>
      </w:pPr>
      <w:proofErr w:type="gramStart"/>
      <w:r>
        <w:t>les</w:t>
      </w:r>
      <w:proofErr w:type="gramEnd"/>
      <w:r>
        <w:t xml:space="preserve"> pistes d’amélioration en matière d’impact, de suivi-évaluation et de valorisation des résultats ;</w:t>
      </w:r>
    </w:p>
    <w:p w14:paraId="25FAFBC5" w14:textId="77777777" w:rsidR="00797195" w:rsidRDefault="00000000">
      <w:pPr>
        <w:pStyle w:val="Paragraphedeliste"/>
        <w:numPr>
          <w:ilvl w:val="0"/>
          <w:numId w:val="2"/>
        </w:numPr>
        <w:spacing w:after="120" w:line="276" w:lineRule="auto"/>
        <w:jc w:val="both"/>
      </w:pPr>
      <w:r>
        <w:t>Un appui à l’appropriation des outils et résultats produits ;</w:t>
      </w:r>
    </w:p>
    <w:p w14:paraId="28997767" w14:textId="77777777" w:rsidR="00797195" w:rsidRDefault="00000000">
      <w:pPr>
        <w:pStyle w:val="Paragraphedeliste"/>
        <w:numPr>
          <w:ilvl w:val="0"/>
          <w:numId w:val="2"/>
        </w:numPr>
        <w:spacing w:after="120" w:line="276" w:lineRule="auto"/>
        <w:jc w:val="both"/>
      </w:pPr>
      <w:r>
        <w:t>Un livrable ou support de transfert de compétences destiné aux équipes de l’AMH, portant sur l’utilisation du dispositif de suivi-évaluation, la lecture des résultats et les principes de l’analyse SROI.</w:t>
      </w:r>
    </w:p>
    <w:p w14:paraId="22868529" w14:textId="77777777" w:rsidR="00797195" w:rsidRDefault="00000000">
      <w:pPr>
        <w:spacing w:before="200" w:after="120" w:line="276" w:lineRule="auto"/>
        <w:jc w:val="both"/>
      </w:pPr>
      <w:r>
        <w:rPr>
          <w:b/>
          <w:bCs/>
        </w:rPr>
        <w:t>Format des livrables</w:t>
      </w:r>
    </w:p>
    <w:p w14:paraId="1DAF2819" w14:textId="77777777" w:rsidR="00797195" w:rsidRDefault="00000000">
      <w:pPr>
        <w:spacing w:after="120" w:line="276" w:lineRule="auto"/>
        <w:jc w:val="both"/>
      </w:pPr>
      <w:r>
        <w:t>L’ensemble des livrables devra être fourni en version électronique modifiable (format Word, Excel, PowerPoint ou équivalent) et en version PDF.</w:t>
      </w:r>
    </w:p>
    <w:p w14:paraId="63A21561" w14:textId="77777777" w:rsidR="00797195" w:rsidRDefault="00000000">
      <w:pPr>
        <w:spacing w:after="120" w:line="276" w:lineRule="auto"/>
        <w:jc w:val="both"/>
      </w:pPr>
      <w:r>
        <w:t>Le traitement des données devra être conforme aux exigences légales et réglementaires applicables en matière de protection des données à caractère personnel.</w:t>
      </w:r>
    </w:p>
    <w:p w14:paraId="5C1B2352" w14:textId="77777777" w:rsidR="00797195" w:rsidRDefault="00000000">
      <w:pPr>
        <w:pBdr>
          <w:bottom w:val="single" w:sz="2" w:space="0" w:color="212E98"/>
        </w:pBdr>
        <w:spacing w:before="360" w:after="200" w:line="276" w:lineRule="auto"/>
        <w:jc w:val="both"/>
      </w:pPr>
      <w:r>
        <w:rPr>
          <w:b/>
          <w:bCs/>
          <w:color w:val="212E98"/>
          <w:sz w:val="24"/>
          <w:szCs w:val="24"/>
        </w:rPr>
        <w:t>Article 5 : Demande et communication d’informations aux concurrents</w:t>
      </w:r>
    </w:p>
    <w:p w14:paraId="1826EF03" w14:textId="77777777" w:rsidR="00797195" w:rsidRDefault="00000000">
      <w:pPr>
        <w:spacing w:after="120" w:line="276" w:lineRule="auto"/>
        <w:jc w:val="both"/>
      </w:pPr>
      <w:r>
        <w:lastRenderedPageBreak/>
        <w:t xml:space="preserve">Tout concurrent souhaitant obtenir des éclaircissements sur le dossier de consultation peut adresser sa demande à l’AMH par téléphone au </w:t>
      </w:r>
      <w:r>
        <w:rPr>
          <w:b/>
          <w:bCs/>
        </w:rPr>
        <w:t>+212 643 953194</w:t>
      </w:r>
      <w:r>
        <w:t xml:space="preserve"> ou par courrier électronique aux adresses suivantes : </w:t>
      </w:r>
      <w:r>
        <w:rPr>
          <w:b/>
          <w:bCs/>
        </w:rPr>
        <w:t>projets@amh.org.ma</w:t>
      </w:r>
      <w:r>
        <w:t xml:space="preserve"> et </w:t>
      </w:r>
      <w:r>
        <w:rPr>
          <w:b/>
          <w:bCs/>
        </w:rPr>
        <w:t>yajoutate@amh.org.ma</w:t>
      </w:r>
      <w:r>
        <w:t>.</w:t>
      </w:r>
    </w:p>
    <w:p w14:paraId="28AC00FC" w14:textId="77777777" w:rsidR="00797195" w:rsidRDefault="00000000">
      <w:pPr>
        <w:pBdr>
          <w:bottom w:val="single" w:sz="2" w:space="0" w:color="212E98"/>
        </w:pBdr>
        <w:spacing w:before="360" w:after="200" w:line="276" w:lineRule="auto"/>
        <w:jc w:val="both"/>
      </w:pPr>
      <w:r>
        <w:rPr>
          <w:b/>
          <w:bCs/>
          <w:color w:val="212E98"/>
          <w:sz w:val="24"/>
          <w:szCs w:val="24"/>
        </w:rPr>
        <w:t>Article 6 : Délais d’exécution et suivi de la consultation</w:t>
      </w:r>
    </w:p>
    <w:p w14:paraId="69AE948B" w14:textId="77777777" w:rsidR="00797195" w:rsidRDefault="00000000">
      <w:pPr>
        <w:spacing w:before="200" w:after="120" w:line="276" w:lineRule="auto"/>
        <w:jc w:val="both"/>
      </w:pPr>
      <w:r>
        <w:rPr>
          <w:b/>
          <w:bCs/>
        </w:rPr>
        <w:t>Délais d’exécution</w:t>
      </w:r>
    </w:p>
    <w:p w14:paraId="69857FE5" w14:textId="77777777" w:rsidR="00797195" w:rsidRDefault="00000000">
      <w:pPr>
        <w:spacing w:after="120" w:line="276" w:lineRule="auto"/>
        <w:jc w:val="both"/>
      </w:pPr>
      <w:r>
        <w:t>Le délai d’exécution des prestations est fixé à six (6) mois.</w:t>
      </w:r>
    </w:p>
    <w:p w14:paraId="41886782" w14:textId="77777777" w:rsidR="00797195" w:rsidRDefault="00000000">
      <w:pPr>
        <w:spacing w:after="120" w:line="276" w:lineRule="auto"/>
        <w:jc w:val="both"/>
      </w:pPr>
      <w:r>
        <w:t>Le Prestataire retenu sera notifié de la date de début de la mission par un ordre de service.</w:t>
      </w:r>
    </w:p>
    <w:p w14:paraId="28F7AE9C" w14:textId="77777777" w:rsidR="00797195" w:rsidRDefault="00000000">
      <w:pPr>
        <w:spacing w:before="200" w:after="120" w:line="276" w:lineRule="auto"/>
        <w:jc w:val="both"/>
      </w:pPr>
      <w:r>
        <w:rPr>
          <w:b/>
          <w:bCs/>
        </w:rPr>
        <w:t>Suivi de l’exécution</w:t>
      </w:r>
    </w:p>
    <w:p w14:paraId="40F25BFB" w14:textId="7E4E64E2" w:rsidR="00797195" w:rsidRDefault="00000000">
      <w:pPr>
        <w:spacing w:after="120" w:line="276" w:lineRule="auto"/>
        <w:jc w:val="both"/>
      </w:pPr>
      <w:r>
        <w:t>Pour l’application des dispositions de la</w:t>
      </w:r>
      <w:r w:rsidR="00B76DB9">
        <w:t xml:space="preserve"> présente</w:t>
      </w:r>
      <w:r>
        <w:t xml:space="preserve"> consultation, il y a lieu de préciser que le suivi de l’exécution des prestations susvisées sera assuré par un Comité de suivi associant la Fondation CDG, l’AMH et le Prestataire retenu.</w:t>
      </w:r>
    </w:p>
    <w:p w14:paraId="2CBF86B3" w14:textId="77777777" w:rsidR="00797195" w:rsidRDefault="00000000">
      <w:pPr>
        <w:pBdr>
          <w:bottom w:val="single" w:sz="2" w:space="0" w:color="212E98"/>
        </w:pBdr>
        <w:spacing w:before="360" w:after="200" w:line="276" w:lineRule="auto"/>
        <w:jc w:val="both"/>
      </w:pPr>
      <w:r>
        <w:rPr>
          <w:b/>
          <w:bCs/>
          <w:color w:val="212E98"/>
          <w:sz w:val="24"/>
          <w:szCs w:val="24"/>
        </w:rPr>
        <w:t>Article 7 : Clauses financières</w:t>
      </w:r>
    </w:p>
    <w:p w14:paraId="4A9F44B0" w14:textId="77777777" w:rsidR="00797195" w:rsidRDefault="00000000">
      <w:pPr>
        <w:spacing w:before="200" w:after="120" w:line="276" w:lineRule="auto"/>
        <w:jc w:val="both"/>
      </w:pPr>
      <w:r>
        <w:rPr>
          <w:b/>
          <w:bCs/>
        </w:rPr>
        <w:t>Caractère général des prix</w:t>
      </w:r>
    </w:p>
    <w:p w14:paraId="5B1AEE99" w14:textId="77777777" w:rsidR="00797195" w:rsidRDefault="00000000">
      <w:pPr>
        <w:spacing w:after="120" w:line="276" w:lineRule="auto"/>
        <w:jc w:val="both"/>
      </w:pPr>
      <w:r>
        <w:t>Les prix du bordereau des prix de la consultation tiennent compte de toutes les sujétions, hormis celles mises explicitement à la charge de l’AMH dans la consultation. Ils tiennent, entre autres, compte de ce qui suit :</w:t>
      </w:r>
    </w:p>
    <w:p w14:paraId="33405B8B" w14:textId="77777777" w:rsidR="00797195" w:rsidRDefault="00000000">
      <w:pPr>
        <w:pStyle w:val="Paragraphedeliste"/>
        <w:numPr>
          <w:ilvl w:val="0"/>
          <w:numId w:val="2"/>
        </w:numPr>
        <w:spacing w:after="120" w:line="276" w:lineRule="auto"/>
        <w:jc w:val="both"/>
      </w:pPr>
      <w:r>
        <w:t>Tous les moyens humains et matériels requis ;</w:t>
      </w:r>
    </w:p>
    <w:p w14:paraId="4704B5EB" w14:textId="77777777" w:rsidR="00797195" w:rsidRDefault="00000000">
      <w:pPr>
        <w:pStyle w:val="Paragraphedeliste"/>
        <w:numPr>
          <w:ilvl w:val="0"/>
          <w:numId w:val="2"/>
        </w:numPr>
        <w:spacing w:after="120" w:line="276" w:lineRule="auto"/>
        <w:jc w:val="both"/>
      </w:pPr>
      <w:r>
        <w:t>Toutes les fournitures nécessaires ;</w:t>
      </w:r>
    </w:p>
    <w:p w14:paraId="1AC3CAB8" w14:textId="77777777" w:rsidR="00797195" w:rsidRDefault="00000000">
      <w:pPr>
        <w:pStyle w:val="Paragraphedeliste"/>
        <w:numPr>
          <w:ilvl w:val="0"/>
          <w:numId w:val="2"/>
        </w:numPr>
        <w:spacing w:after="120" w:line="276" w:lineRule="auto"/>
        <w:jc w:val="both"/>
      </w:pPr>
      <w:r>
        <w:t>Les frais d’édition et de reproduction des livrables en nombre d’exemplaires requis ;</w:t>
      </w:r>
    </w:p>
    <w:p w14:paraId="6444C038" w14:textId="77777777" w:rsidR="00797195" w:rsidRDefault="00000000">
      <w:pPr>
        <w:pStyle w:val="Paragraphedeliste"/>
        <w:numPr>
          <w:ilvl w:val="0"/>
          <w:numId w:val="2"/>
        </w:numPr>
        <w:spacing w:after="120" w:line="276" w:lineRule="auto"/>
        <w:jc w:val="both"/>
      </w:pPr>
      <w:r>
        <w:t>Tous les frais et les faux-frais inhérents à l’exécution de la consultation ;</w:t>
      </w:r>
    </w:p>
    <w:p w14:paraId="3C8F1A35" w14:textId="77777777" w:rsidR="00797195" w:rsidRDefault="00000000">
      <w:pPr>
        <w:pStyle w:val="Paragraphedeliste"/>
        <w:numPr>
          <w:ilvl w:val="0"/>
          <w:numId w:val="2"/>
        </w:numPr>
        <w:spacing w:after="120" w:line="276" w:lineRule="auto"/>
        <w:jc w:val="both"/>
      </w:pPr>
      <w:r>
        <w:t>Les frais de voyage, déplacements, transports et de séjour engagés par le Prestataire ;</w:t>
      </w:r>
    </w:p>
    <w:p w14:paraId="58ED3261" w14:textId="77777777" w:rsidR="00797195" w:rsidRDefault="00000000">
      <w:pPr>
        <w:pStyle w:val="Paragraphedeliste"/>
        <w:numPr>
          <w:ilvl w:val="0"/>
          <w:numId w:val="2"/>
        </w:numPr>
        <w:spacing w:after="120" w:line="276" w:lineRule="auto"/>
        <w:jc w:val="both"/>
      </w:pPr>
      <w:r>
        <w:t>Les charges financières, les bénéfices, toutes les taxes hormis la TVA et tous les impôts existants auxquels est soumis le Prestataire à la date de signature du marché ;</w:t>
      </w:r>
    </w:p>
    <w:p w14:paraId="1EB285E3" w14:textId="77777777" w:rsidR="00797195" w:rsidRDefault="00000000">
      <w:pPr>
        <w:pStyle w:val="Paragraphedeliste"/>
        <w:numPr>
          <w:ilvl w:val="0"/>
          <w:numId w:val="2"/>
        </w:numPr>
        <w:spacing w:after="120" w:line="276" w:lineRule="auto"/>
        <w:jc w:val="both"/>
      </w:pPr>
      <w:r>
        <w:t>De manière générale, toutes les suggestions de bonne exécution.</w:t>
      </w:r>
    </w:p>
    <w:p w14:paraId="41C7165A" w14:textId="77777777" w:rsidR="00797195" w:rsidRDefault="00000000">
      <w:pPr>
        <w:spacing w:before="200" w:after="120" w:line="276" w:lineRule="auto"/>
        <w:jc w:val="both"/>
      </w:pPr>
      <w:r>
        <w:rPr>
          <w:b/>
          <w:bCs/>
        </w:rPr>
        <w:t>Révision des prix</w:t>
      </w:r>
    </w:p>
    <w:p w14:paraId="0DB16014" w14:textId="77777777" w:rsidR="00797195" w:rsidRDefault="00000000">
      <w:pPr>
        <w:spacing w:after="120" w:line="276" w:lineRule="auto"/>
        <w:jc w:val="both"/>
      </w:pPr>
      <w:r>
        <w:t>Les prix de la consultation sont fermes et non révisables.</w:t>
      </w:r>
    </w:p>
    <w:p w14:paraId="68BF8986" w14:textId="77777777" w:rsidR="00797195" w:rsidRDefault="00000000">
      <w:pPr>
        <w:spacing w:before="200" w:after="120" w:line="276" w:lineRule="auto"/>
        <w:jc w:val="both"/>
      </w:pPr>
      <w:r>
        <w:rPr>
          <w:b/>
          <w:bCs/>
        </w:rPr>
        <w:t>Modalités de paiement</w:t>
      </w:r>
    </w:p>
    <w:p w14:paraId="170BC49B" w14:textId="77777777" w:rsidR="00797195" w:rsidRDefault="00000000">
      <w:pPr>
        <w:spacing w:after="120" w:line="276" w:lineRule="auto"/>
        <w:jc w:val="both"/>
      </w:pPr>
      <w:r>
        <w:t>Le déblocage des paiements est conditionné à la validation et à l’attestation des livrables par l’AMH et la Fondation CDG, conformément aux jalons définis dans le présent TDR et aux décisions du Comité de suivi.</w:t>
      </w:r>
    </w:p>
    <w:p w14:paraId="39822981" w14:textId="77777777" w:rsidR="00797195" w:rsidRDefault="00797195">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56"/>
        <w:gridCol w:w="1506"/>
        <w:gridCol w:w="1006"/>
        <w:gridCol w:w="4258"/>
      </w:tblGrid>
      <w:tr w:rsidR="00797195" w14:paraId="4C67C373" w14:textId="77777777">
        <w:tc>
          <w:tcPr>
            <w:tcW w:w="2256" w:type="dxa"/>
            <w:tcBorders>
              <w:top w:val="single" w:sz="1" w:space="0" w:color="CCCCCC"/>
              <w:left w:val="single" w:sz="1" w:space="0" w:color="CCCCCC"/>
              <w:bottom w:val="single" w:sz="1" w:space="0" w:color="CCCCCC"/>
              <w:right w:val="single" w:sz="1" w:space="0" w:color="CCCCCC"/>
            </w:tcBorders>
            <w:shd w:val="clear" w:color="auto" w:fill="212E98"/>
            <w:tcMar>
              <w:top w:w="60" w:type="dxa"/>
              <w:left w:w="100" w:type="dxa"/>
              <w:bottom w:w="60" w:type="dxa"/>
              <w:right w:w="100" w:type="dxa"/>
            </w:tcMar>
            <w:vAlign w:val="center"/>
          </w:tcPr>
          <w:p w14:paraId="517F005F" w14:textId="77777777" w:rsidR="00797195" w:rsidRDefault="00000000">
            <w:pPr>
              <w:spacing w:line="276" w:lineRule="auto"/>
              <w:jc w:val="center"/>
            </w:pPr>
            <w:r>
              <w:rPr>
                <w:b/>
                <w:bCs/>
                <w:color w:val="FFFFFF"/>
                <w:sz w:val="20"/>
                <w:szCs w:val="20"/>
              </w:rPr>
              <w:t>Tranche de paiement</w:t>
            </w:r>
          </w:p>
        </w:tc>
        <w:tc>
          <w:tcPr>
            <w:tcW w:w="1506" w:type="dxa"/>
            <w:tcBorders>
              <w:top w:val="single" w:sz="1" w:space="0" w:color="CCCCCC"/>
              <w:left w:val="single" w:sz="1" w:space="0" w:color="CCCCCC"/>
              <w:bottom w:val="single" w:sz="1" w:space="0" w:color="CCCCCC"/>
              <w:right w:val="single" w:sz="1" w:space="0" w:color="CCCCCC"/>
            </w:tcBorders>
            <w:shd w:val="clear" w:color="auto" w:fill="212E98"/>
            <w:tcMar>
              <w:top w:w="60" w:type="dxa"/>
              <w:left w:w="100" w:type="dxa"/>
              <w:bottom w:w="60" w:type="dxa"/>
              <w:right w:w="100" w:type="dxa"/>
            </w:tcMar>
            <w:vAlign w:val="center"/>
          </w:tcPr>
          <w:p w14:paraId="103E136F" w14:textId="77777777" w:rsidR="00797195" w:rsidRDefault="00000000">
            <w:pPr>
              <w:spacing w:line="276" w:lineRule="auto"/>
              <w:jc w:val="center"/>
            </w:pPr>
            <w:r>
              <w:rPr>
                <w:b/>
                <w:bCs/>
                <w:color w:val="FFFFFF"/>
                <w:sz w:val="20"/>
                <w:szCs w:val="20"/>
              </w:rPr>
              <w:t>Intitulé</w:t>
            </w:r>
          </w:p>
        </w:tc>
        <w:tc>
          <w:tcPr>
            <w:tcW w:w="1006" w:type="dxa"/>
            <w:tcBorders>
              <w:top w:val="single" w:sz="1" w:space="0" w:color="CCCCCC"/>
              <w:left w:val="single" w:sz="1" w:space="0" w:color="CCCCCC"/>
              <w:bottom w:val="single" w:sz="1" w:space="0" w:color="CCCCCC"/>
              <w:right w:val="single" w:sz="1" w:space="0" w:color="CCCCCC"/>
            </w:tcBorders>
            <w:shd w:val="clear" w:color="auto" w:fill="212E98"/>
            <w:tcMar>
              <w:top w:w="60" w:type="dxa"/>
              <w:left w:w="100" w:type="dxa"/>
              <w:bottom w:w="60" w:type="dxa"/>
              <w:right w:w="100" w:type="dxa"/>
            </w:tcMar>
            <w:vAlign w:val="center"/>
          </w:tcPr>
          <w:p w14:paraId="387C3169" w14:textId="77777777" w:rsidR="00797195" w:rsidRDefault="00000000">
            <w:pPr>
              <w:spacing w:line="276" w:lineRule="auto"/>
              <w:jc w:val="center"/>
            </w:pPr>
            <w:r>
              <w:rPr>
                <w:b/>
                <w:bCs/>
                <w:color w:val="FFFFFF"/>
                <w:sz w:val="20"/>
                <w:szCs w:val="20"/>
              </w:rPr>
              <w:t>%</w:t>
            </w:r>
          </w:p>
        </w:tc>
        <w:tc>
          <w:tcPr>
            <w:tcW w:w="4258" w:type="dxa"/>
            <w:tcBorders>
              <w:top w:val="single" w:sz="1" w:space="0" w:color="CCCCCC"/>
              <w:left w:val="single" w:sz="1" w:space="0" w:color="CCCCCC"/>
              <w:bottom w:val="single" w:sz="1" w:space="0" w:color="CCCCCC"/>
              <w:right w:val="single" w:sz="1" w:space="0" w:color="CCCCCC"/>
            </w:tcBorders>
            <w:shd w:val="clear" w:color="auto" w:fill="212E98"/>
            <w:tcMar>
              <w:top w:w="60" w:type="dxa"/>
              <w:left w:w="100" w:type="dxa"/>
              <w:bottom w:w="60" w:type="dxa"/>
              <w:right w:w="100" w:type="dxa"/>
            </w:tcMar>
            <w:vAlign w:val="center"/>
          </w:tcPr>
          <w:p w14:paraId="0F8069CE" w14:textId="77777777" w:rsidR="00797195" w:rsidRDefault="00000000">
            <w:pPr>
              <w:spacing w:line="276" w:lineRule="auto"/>
              <w:jc w:val="center"/>
            </w:pPr>
            <w:r>
              <w:rPr>
                <w:b/>
                <w:bCs/>
                <w:color w:val="FFFFFF"/>
                <w:sz w:val="20"/>
                <w:szCs w:val="20"/>
              </w:rPr>
              <w:t>Conditions de déblocage</w:t>
            </w:r>
          </w:p>
        </w:tc>
      </w:tr>
      <w:tr w:rsidR="00797195" w14:paraId="7D15D7E9" w14:textId="77777777">
        <w:tc>
          <w:tcPr>
            <w:tcW w:w="225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3C1F4C9" w14:textId="77777777" w:rsidR="00797195" w:rsidRDefault="00000000">
            <w:pPr>
              <w:spacing w:line="276" w:lineRule="auto"/>
            </w:pPr>
            <w:r>
              <w:rPr>
                <w:b/>
                <w:bCs/>
                <w:sz w:val="20"/>
                <w:szCs w:val="20"/>
              </w:rPr>
              <w:t>1ère tranche</w:t>
            </w:r>
          </w:p>
        </w:tc>
        <w:tc>
          <w:tcPr>
            <w:tcW w:w="15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2D88CFA" w14:textId="77777777" w:rsidR="00797195" w:rsidRDefault="00000000">
            <w:pPr>
              <w:spacing w:line="276" w:lineRule="auto"/>
            </w:pPr>
            <w:r>
              <w:rPr>
                <w:sz w:val="20"/>
                <w:szCs w:val="20"/>
              </w:rPr>
              <w:t>Cadrage de la mission</w:t>
            </w:r>
          </w:p>
        </w:tc>
        <w:tc>
          <w:tcPr>
            <w:tcW w:w="10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8A51103" w14:textId="77777777" w:rsidR="00797195" w:rsidRDefault="00000000">
            <w:pPr>
              <w:spacing w:line="276" w:lineRule="auto"/>
              <w:jc w:val="center"/>
            </w:pPr>
            <w:r>
              <w:rPr>
                <w:sz w:val="20"/>
                <w:szCs w:val="20"/>
              </w:rPr>
              <w:t>30 %</w:t>
            </w:r>
          </w:p>
        </w:tc>
        <w:tc>
          <w:tcPr>
            <w:tcW w:w="4258"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7F8A70C9" w14:textId="77777777" w:rsidR="00797195" w:rsidRDefault="00000000">
            <w:pPr>
              <w:spacing w:line="276" w:lineRule="auto"/>
            </w:pPr>
            <w:r>
              <w:rPr>
                <w:sz w:val="20"/>
                <w:szCs w:val="20"/>
              </w:rPr>
              <w:t>Validation de la note de cadrage incluant la méthodologie, le périmètre définitif de l’étude, le calendrier détaillé et les jalons de validation, par l’AMH et la Fondation CDG.</w:t>
            </w:r>
          </w:p>
        </w:tc>
      </w:tr>
      <w:tr w:rsidR="00797195" w14:paraId="58BC217E" w14:textId="77777777">
        <w:tc>
          <w:tcPr>
            <w:tcW w:w="225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A090074" w14:textId="77777777" w:rsidR="00797195" w:rsidRDefault="00000000">
            <w:pPr>
              <w:spacing w:line="276" w:lineRule="auto"/>
            </w:pPr>
            <w:r>
              <w:rPr>
                <w:b/>
                <w:bCs/>
                <w:sz w:val="20"/>
                <w:szCs w:val="20"/>
              </w:rPr>
              <w:t>2ème tranche</w:t>
            </w:r>
          </w:p>
        </w:tc>
        <w:tc>
          <w:tcPr>
            <w:tcW w:w="15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66330E4" w14:textId="77777777" w:rsidR="00797195" w:rsidRDefault="00000000">
            <w:pPr>
              <w:spacing w:line="276" w:lineRule="auto"/>
            </w:pPr>
            <w:r>
              <w:rPr>
                <w:sz w:val="20"/>
                <w:szCs w:val="20"/>
              </w:rPr>
              <w:t>Analyse et évaluation d’impact</w:t>
            </w:r>
          </w:p>
        </w:tc>
        <w:tc>
          <w:tcPr>
            <w:tcW w:w="10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65770FF" w14:textId="77777777" w:rsidR="00797195" w:rsidRDefault="00000000">
            <w:pPr>
              <w:spacing w:line="276" w:lineRule="auto"/>
              <w:jc w:val="center"/>
            </w:pPr>
            <w:r>
              <w:rPr>
                <w:sz w:val="20"/>
                <w:szCs w:val="20"/>
              </w:rPr>
              <w:t>30 %</w:t>
            </w:r>
          </w:p>
        </w:tc>
        <w:tc>
          <w:tcPr>
            <w:tcW w:w="4258"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396BC21" w14:textId="77777777" w:rsidR="00797195" w:rsidRDefault="00000000">
            <w:pPr>
              <w:spacing w:line="276" w:lineRule="auto"/>
            </w:pPr>
            <w:r>
              <w:rPr>
                <w:sz w:val="20"/>
                <w:szCs w:val="20"/>
              </w:rPr>
              <w:t>Validation du rapport d’analyse du projet et du rapport provisoire d’évaluation d’impact, ainsi que des points d’étape associés, présentés au Comité de suivi à l’issue de la mission terrain.</w:t>
            </w:r>
          </w:p>
        </w:tc>
      </w:tr>
      <w:tr w:rsidR="00797195" w14:paraId="269D6B34" w14:textId="77777777">
        <w:tc>
          <w:tcPr>
            <w:tcW w:w="225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45DC101" w14:textId="77777777" w:rsidR="00797195" w:rsidRDefault="00000000">
            <w:pPr>
              <w:spacing w:line="276" w:lineRule="auto"/>
            </w:pPr>
            <w:r>
              <w:rPr>
                <w:b/>
                <w:bCs/>
                <w:sz w:val="20"/>
                <w:szCs w:val="20"/>
              </w:rPr>
              <w:t>3ème tranche</w:t>
            </w:r>
          </w:p>
        </w:tc>
        <w:tc>
          <w:tcPr>
            <w:tcW w:w="15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BC22239" w14:textId="77777777" w:rsidR="00797195" w:rsidRDefault="00000000">
            <w:pPr>
              <w:spacing w:line="276" w:lineRule="auto"/>
            </w:pPr>
            <w:r>
              <w:rPr>
                <w:sz w:val="20"/>
                <w:szCs w:val="20"/>
              </w:rPr>
              <w:t>Finalisation et capitalisation</w:t>
            </w:r>
          </w:p>
        </w:tc>
        <w:tc>
          <w:tcPr>
            <w:tcW w:w="10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1A7BCE6" w14:textId="77777777" w:rsidR="00797195" w:rsidRDefault="00000000">
            <w:pPr>
              <w:spacing w:line="276" w:lineRule="auto"/>
              <w:jc w:val="center"/>
            </w:pPr>
            <w:r>
              <w:rPr>
                <w:sz w:val="20"/>
                <w:szCs w:val="20"/>
              </w:rPr>
              <w:t>40 %</w:t>
            </w:r>
          </w:p>
        </w:tc>
        <w:tc>
          <w:tcPr>
            <w:tcW w:w="4258"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B069560" w14:textId="77777777" w:rsidR="00797195" w:rsidRDefault="00000000">
            <w:pPr>
              <w:spacing w:line="276" w:lineRule="auto"/>
            </w:pPr>
            <w:r>
              <w:rPr>
                <w:sz w:val="20"/>
                <w:szCs w:val="20"/>
              </w:rPr>
              <w:t>Achèvement complet de la mission, présentation finale des résultats à l’AMH et à la Fondation CDG, et remise de l’ensemble des livrables finaux validés, en formats modifiables et PDF.</w:t>
            </w:r>
          </w:p>
        </w:tc>
      </w:tr>
    </w:tbl>
    <w:p w14:paraId="00266FE1" w14:textId="77777777" w:rsidR="00797195" w:rsidRDefault="00797195">
      <w:pPr>
        <w:spacing w:after="120"/>
      </w:pPr>
    </w:p>
    <w:p w14:paraId="5D9EB0E0" w14:textId="77777777" w:rsidR="00797195" w:rsidRDefault="00000000">
      <w:pPr>
        <w:spacing w:before="200" w:after="120" w:line="276" w:lineRule="auto"/>
        <w:jc w:val="both"/>
      </w:pPr>
      <w:r>
        <w:rPr>
          <w:b/>
          <w:bCs/>
        </w:rPr>
        <w:t>Délai de paiement</w:t>
      </w:r>
    </w:p>
    <w:p w14:paraId="2BF46CAD" w14:textId="77777777" w:rsidR="00797195" w:rsidRDefault="00000000">
      <w:pPr>
        <w:spacing w:after="120" w:line="276" w:lineRule="auto"/>
        <w:jc w:val="both"/>
      </w:pPr>
      <w:r>
        <w:t>Les factures, émises et établies en quatre (4) exemplaires, doivent être fiscalement acceptables et préciser le numéro de la consultation, le nom du Programme et projet et l’objet de la mission. Elles doivent être conformes au PV de réception approuvé par l’AMH et accompagnées d’une copie dudit PV. Elles sont adressées par courrier séparé ou déposées contre accusé de réception au secrétariat de l’AMH.</w:t>
      </w:r>
    </w:p>
    <w:p w14:paraId="5AF9EEE7" w14:textId="77777777" w:rsidR="00797195" w:rsidRDefault="00000000">
      <w:pPr>
        <w:spacing w:after="120" w:line="276" w:lineRule="auto"/>
        <w:jc w:val="both"/>
      </w:pPr>
      <w:r>
        <w:t>Les paiements interviendront trente (30) jours, fin de mois, après validation des factures reçues.</w:t>
      </w:r>
    </w:p>
    <w:p w14:paraId="414F0DC0" w14:textId="77777777" w:rsidR="00797195" w:rsidRDefault="00000000">
      <w:pPr>
        <w:spacing w:before="200" w:after="120" w:line="276" w:lineRule="auto"/>
        <w:jc w:val="both"/>
      </w:pPr>
      <w:r>
        <w:rPr>
          <w:b/>
          <w:bCs/>
        </w:rPr>
        <w:t>Bordereau des prix</w:t>
      </w:r>
    </w:p>
    <w:p w14:paraId="10CF65EE" w14:textId="77777777" w:rsidR="00797195" w:rsidRDefault="00000000">
      <w:pPr>
        <w:spacing w:after="120" w:line="276" w:lineRule="auto"/>
        <w:jc w:val="both"/>
      </w:pPr>
      <w:r>
        <w:t>Le Bordereau des prix est représenté comme suit :</w:t>
      </w:r>
    </w:p>
    <w:p w14:paraId="7F861381" w14:textId="77777777" w:rsidR="00797195" w:rsidRDefault="00797195">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13"/>
        <w:gridCol w:w="1006"/>
        <w:gridCol w:w="3007"/>
      </w:tblGrid>
      <w:tr w:rsidR="00797195" w14:paraId="0562CC0A" w14:textId="77777777">
        <w:tc>
          <w:tcPr>
            <w:tcW w:w="5013" w:type="dxa"/>
            <w:tcBorders>
              <w:top w:val="single" w:sz="1" w:space="0" w:color="CCCCCC"/>
              <w:left w:val="single" w:sz="1" w:space="0" w:color="CCCCCC"/>
              <w:bottom w:val="single" w:sz="1" w:space="0" w:color="CCCCCC"/>
              <w:right w:val="single" w:sz="1" w:space="0" w:color="CCCCCC"/>
            </w:tcBorders>
            <w:shd w:val="clear" w:color="auto" w:fill="212E98"/>
            <w:tcMar>
              <w:top w:w="60" w:type="dxa"/>
              <w:left w:w="100" w:type="dxa"/>
              <w:bottom w:w="60" w:type="dxa"/>
              <w:right w:w="100" w:type="dxa"/>
            </w:tcMar>
            <w:vAlign w:val="center"/>
          </w:tcPr>
          <w:p w14:paraId="55A736F8" w14:textId="77777777" w:rsidR="00797195" w:rsidRDefault="00000000">
            <w:pPr>
              <w:spacing w:line="276" w:lineRule="auto"/>
              <w:jc w:val="center"/>
            </w:pPr>
            <w:r>
              <w:rPr>
                <w:b/>
                <w:bCs/>
                <w:color w:val="FFFFFF"/>
                <w:sz w:val="20"/>
                <w:szCs w:val="20"/>
              </w:rPr>
              <w:t>Libellé</w:t>
            </w:r>
          </w:p>
        </w:tc>
        <w:tc>
          <w:tcPr>
            <w:tcW w:w="1006" w:type="dxa"/>
            <w:tcBorders>
              <w:top w:val="single" w:sz="1" w:space="0" w:color="CCCCCC"/>
              <w:left w:val="single" w:sz="1" w:space="0" w:color="CCCCCC"/>
              <w:bottom w:val="single" w:sz="1" w:space="0" w:color="CCCCCC"/>
              <w:right w:val="single" w:sz="1" w:space="0" w:color="CCCCCC"/>
            </w:tcBorders>
            <w:shd w:val="clear" w:color="auto" w:fill="212E98"/>
            <w:tcMar>
              <w:top w:w="60" w:type="dxa"/>
              <w:left w:w="100" w:type="dxa"/>
              <w:bottom w:w="60" w:type="dxa"/>
              <w:right w:w="100" w:type="dxa"/>
            </w:tcMar>
            <w:vAlign w:val="center"/>
          </w:tcPr>
          <w:p w14:paraId="0AF4B2B8" w14:textId="77777777" w:rsidR="00797195" w:rsidRDefault="00000000">
            <w:pPr>
              <w:spacing w:line="276" w:lineRule="auto"/>
              <w:jc w:val="center"/>
            </w:pPr>
            <w:r>
              <w:rPr>
                <w:b/>
                <w:bCs/>
                <w:color w:val="FFFFFF"/>
                <w:sz w:val="20"/>
                <w:szCs w:val="20"/>
              </w:rPr>
              <w:t>Unité</w:t>
            </w:r>
          </w:p>
        </w:tc>
        <w:tc>
          <w:tcPr>
            <w:tcW w:w="3007" w:type="dxa"/>
            <w:tcBorders>
              <w:top w:val="single" w:sz="1" w:space="0" w:color="CCCCCC"/>
              <w:left w:val="single" w:sz="1" w:space="0" w:color="CCCCCC"/>
              <w:bottom w:val="single" w:sz="1" w:space="0" w:color="CCCCCC"/>
              <w:right w:val="single" w:sz="1" w:space="0" w:color="CCCCCC"/>
            </w:tcBorders>
            <w:shd w:val="clear" w:color="auto" w:fill="212E98"/>
            <w:tcMar>
              <w:top w:w="60" w:type="dxa"/>
              <w:left w:w="100" w:type="dxa"/>
              <w:bottom w:w="60" w:type="dxa"/>
              <w:right w:w="100" w:type="dxa"/>
            </w:tcMar>
            <w:vAlign w:val="center"/>
          </w:tcPr>
          <w:p w14:paraId="68790286" w14:textId="77777777" w:rsidR="00797195" w:rsidRDefault="00000000">
            <w:pPr>
              <w:spacing w:line="276" w:lineRule="auto"/>
              <w:jc w:val="center"/>
            </w:pPr>
            <w:r>
              <w:rPr>
                <w:b/>
                <w:bCs/>
                <w:color w:val="FFFFFF"/>
                <w:sz w:val="20"/>
                <w:szCs w:val="20"/>
              </w:rPr>
              <w:t>Prix Forfaitaire HT</w:t>
            </w:r>
          </w:p>
        </w:tc>
      </w:tr>
      <w:tr w:rsidR="00797195" w14:paraId="489C2B2F" w14:textId="77777777">
        <w:tc>
          <w:tcPr>
            <w:tcW w:w="5013"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A3A4AB0" w14:textId="77777777" w:rsidR="00797195" w:rsidRDefault="00000000">
            <w:pPr>
              <w:spacing w:line="276" w:lineRule="auto"/>
              <w:jc w:val="both"/>
            </w:pPr>
            <w:r>
              <w:rPr>
                <w:b/>
                <w:bCs/>
                <w:sz w:val="20"/>
                <w:szCs w:val="20"/>
              </w:rPr>
              <w:t>Mission de réalisation d’une étude d’impact et de mise en place d’un dispositif de suivi-évaluation</w:t>
            </w:r>
          </w:p>
        </w:tc>
        <w:tc>
          <w:tcPr>
            <w:tcW w:w="10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9501E79" w14:textId="77777777" w:rsidR="00797195" w:rsidRDefault="00000000">
            <w:pPr>
              <w:spacing w:line="276" w:lineRule="auto"/>
              <w:jc w:val="center"/>
            </w:pPr>
            <w:r>
              <w:rPr>
                <w:sz w:val="20"/>
                <w:szCs w:val="20"/>
              </w:rPr>
              <w:t>F</w:t>
            </w:r>
          </w:p>
        </w:tc>
        <w:tc>
          <w:tcPr>
            <w:tcW w:w="3007"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1ADEE4F" w14:textId="77777777" w:rsidR="00797195" w:rsidRDefault="00797195">
            <w:pPr>
              <w:spacing w:line="276" w:lineRule="auto"/>
            </w:pPr>
          </w:p>
        </w:tc>
      </w:tr>
      <w:tr w:rsidR="00797195" w14:paraId="5C85743D" w14:textId="77777777">
        <w:tc>
          <w:tcPr>
            <w:tcW w:w="5013"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A3185CA" w14:textId="77777777" w:rsidR="00797195" w:rsidRDefault="00000000">
            <w:pPr>
              <w:spacing w:line="276" w:lineRule="auto"/>
              <w:jc w:val="right"/>
            </w:pPr>
            <w:r>
              <w:rPr>
                <w:b/>
                <w:bCs/>
                <w:sz w:val="20"/>
                <w:szCs w:val="20"/>
              </w:rPr>
              <w:t>Total Hors Taxes</w:t>
            </w:r>
          </w:p>
        </w:tc>
        <w:tc>
          <w:tcPr>
            <w:tcW w:w="10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8E65672" w14:textId="77777777" w:rsidR="00797195" w:rsidRDefault="00797195">
            <w:pPr>
              <w:spacing w:line="276" w:lineRule="auto"/>
            </w:pPr>
          </w:p>
        </w:tc>
        <w:tc>
          <w:tcPr>
            <w:tcW w:w="3007"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78F38DE" w14:textId="77777777" w:rsidR="00797195" w:rsidRDefault="00797195">
            <w:pPr>
              <w:spacing w:line="276" w:lineRule="auto"/>
            </w:pPr>
          </w:p>
        </w:tc>
      </w:tr>
      <w:tr w:rsidR="00797195" w14:paraId="5B3D18D4" w14:textId="77777777">
        <w:tc>
          <w:tcPr>
            <w:tcW w:w="5013"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6C92EF7" w14:textId="77777777" w:rsidR="00797195" w:rsidRDefault="00000000">
            <w:pPr>
              <w:spacing w:line="276" w:lineRule="auto"/>
              <w:jc w:val="right"/>
            </w:pPr>
            <w:r>
              <w:rPr>
                <w:b/>
                <w:bCs/>
                <w:sz w:val="20"/>
                <w:szCs w:val="20"/>
              </w:rPr>
              <w:t>TVA (20 %)</w:t>
            </w:r>
          </w:p>
        </w:tc>
        <w:tc>
          <w:tcPr>
            <w:tcW w:w="10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F1B754C" w14:textId="77777777" w:rsidR="00797195" w:rsidRDefault="00797195">
            <w:pPr>
              <w:spacing w:line="276" w:lineRule="auto"/>
            </w:pPr>
          </w:p>
        </w:tc>
        <w:tc>
          <w:tcPr>
            <w:tcW w:w="3007"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B6FCDF6" w14:textId="77777777" w:rsidR="00797195" w:rsidRDefault="00797195">
            <w:pPr>
              <w:spacing w:line="276" w:lineRule="auto"/>
            </w:pPr>
          </w:p>
        </w:tc>
      </w:tr>
      <w:tr w:rsidR="00797195" w14:paraId="40C781D7" w14:textId="77777777">
        <w:tc>
          <w:tcPr>
            <w:tcW w:w="5013" w:type="dxa"/>
            <w:tcBorders>
              <w:top w:val="single" w:sz="1" w:space="0" w:color="CCCCCC"/>
              <w:left w:val="single" w:sz="1" w:space="0" w:color="CCCCCC"/>
              <w:bottom w:val="single" w:sz="1" w:space="0" w:color="CCCCCC"/>
              <w:right w:val="single" w:sz="1" w:space="0" w:color="CCCCCC"/>
            </w:tcBorders>
            <w:shd w:val="clear" w:color="auto" w:fill="E8EBF7"/>
            <w:tcMar>
              <w:top w:w="60" w:type="dxa"/>
              <w:left w:w="100" w:type="dxa"/>
              <w:bottom w:w="60" w:type="dxa"/>
              <w:right w:w="100" w:type="dxa"/>
            </w:tcMar>
            <w:vAlign w:val="center"/>
          </w:tcPr>
          <w:p w14:paraId="51EE5B46" w14:textId="77777777" w:rsidR="00797195" w:rsidRDefault="00000000">
            <w:pPr>
              <w:spacing w:line="276" w:lineRule="auto"/>
              <w:jc w:val="right"/>
            </w:pPr>
            <w:r>
              <w:rPr>
                <w:b/>
                <w:bCs/>
                <w:sz w:val="20"/>
                <w:szCs w:val="20"/>
              </w:rPr>
              <w:t>Total Toutes Taxes Comprises (TTC)</w:t>
            </w:r>
          </w:p>
        </w:tc>
        <w:tc>
          <w:tcPr>
            <w:tcW w:w="1006" w:type="dxa"/>
            <w:tcBorders>
              <w:top w:val="single" w:sz="1" w:space="0" w:color="CCCCCC"/>
              <w:left w:val="single" w:sz="1" w:space="0" w:color="CCCCCC"/>
              <w:bottom w:val="single" w:sz="1" w:space="0" w:color="CCCCCC"/>
              <w:right w:val="single" w:sz="1" w:space="0" w:color="CCCCCC"/>
            </w:tcBorders>
            <w:shd w:val="clear" w:color="auto" w:fill="E8EBF7"/>
            <w:tcMar>
              <w:top w:w="60" w:type="dxa"/>
              <w:left w:w="100" w:type="dxa"/>
              <w:bottom w:w="60" w:type="dxa"/>
              <w:right w:w="100" w:type="dxa"/>
            </w:tcMar>
            <w:vAlign w:val="center"/>
          </w:tcPr>
          <w:p w14:paraId="4030799A" w14:textId="77777777" w:rsidR="00797195" w:rsidRDefault="00797195">
            <w:pPr>
              <w:spacing w:line="276" w:lineRule="auto"/>
            </w:pPr>
          </w:p>
        </w:tc>
        <w:tc>
          <w:tcPr>
            <w:tcW w:w="3007" w:type="dxa"/>
            <w:tcBorders>
              <w:top w:val="single" w:sz="1" w:space="0" w:color="CCCCCC"/>
              <w:left w:val="single" w:sz="1" w:space="0" w:color="CCCCCC"/>
              <w:bottom w:val="single" w:sz="1" w:space="0" w:color="CCCCCC"/>
              <w:right w:val="single" w:sz="1" w:space="0" w:color="CCCCCC"/>
            </w:tcBorders>
            <w:shd w:val="clear" w:color="auto" w:fill="E8EBF7"/>
            <w:tcMar>
              <w:top w:w="60" w:type="dxa"/>
              <w:left w:w="100" w:type="dxa"/>
              <w:bottom w:w="60" w:type="dxa"/>
              <w:right w:w="100" w:type="dxa"/>
            </w:tcMar>
            <w:vAlign w:val="center"/>
          </w:tcPr>
          <w:p w14:paraId="1EB5D560" w14:textId="77777777" w:rsidR="00797195" w:rsidRDefault="00797195">
            <w:pPr>
              <w:spacing w:line="276" w:lineRule="auto"/>
            </w:pPr>
          </w:p>
        </w:tc>
      </w:tr>
    </w:tbl>
    <w:p w14:paraId="40CCF743" w14:textId="77777777" w:rsidR="00797195" w:rsidRDefault="00000000">
      <w:pPr>
        <w:pBdr>
          <w:bottom w:val="single" w:sz="2" w:space="0" w:color="212E98"/>
        </w:pBdr>
        <w:spacing w:before="360" w:after="200" w:line="276" w:lineRule="auto"/>
        <w:jc w:val="both"/>
      </w:pPr>
      <w:r>
        <w:rPr>
          <w:b/>
          <w:bCs/>
          <w:color w:val="212E98"/>
          <w:sz w:val="24"/>
          <w:szCs w:val="24"/>
        </w:rPr>
        <w:t>Article 8 : Conditions requises des concurrents</w:t>
      </w:r>
    </w:p>
    <w:p w14:paraId="12369D3C" w14:textId="77777777" w:rsidR="00797195" w:rsidRDefault="00000000">
      <w:pPr>
        <w:spacing w:after="120" w:line="276" w:lineRule="auto"/>
        <w:jc w:val="both"/>
      </w:pPr>
      <w:r>
        <w:t>Peuvent valablement participer à la présente consultation, les personnes physiques ou morales justifiant d’un statut légal leur permettant d’exercer et de facturer les prestations objet de la présente consultation, et qui :</w:t>
      </w:r>
    </w:p>
    <w:p w14:paraId="543ABCBF" w14:textId="77777777" w:rsidR="00797195" w:rsidRDefault="00000000">
      <w:pPr>
        <w:pStyle w:val="Paragraphedeliste"/>
        <w:numPr>
          <w:ilvl w:val="0"/>
          <w:numId w:val="2"/>
        </w:numPr>
        <w:spacing w:after="120" w:line="276" w:lineRule="auto"/>
        <w:jc w:val="both"/>
      </w:pPr>
      <w:r>
        <w:lastRenderedPageBreak/>
        <w:t>Justifient des capacités juridiques, techniques et financières nécessaires à la mission ;</w:t>
      </w:r>
    </w:p>
    <w:p w14:paraId="6C67BCD5" w14:textId="77777777" w:rsidR="00797195" w:rsidRDefault="00000000">
      <w:pPr>
        <w:pStyle w:val="Paragraphedeliste"/>
        <w:numPr>
          <w:ilvl w:val="0"/>
          <w:numId w:val="2"/>
        </w:numPr>
        <w:spacing w:after="120" w:line="276" w:lineRule="auto"/>
        <w:jc w:val="both"/>
      </w:pPr>
      <w:r>
        <w:t>Sont en situation fiscale régulière, pour avoir souscrit leurs déclarations et réglé les sommes exigibles dûment définitives ou, à défaut de règlement, constitué des garanties jugées suffisantes par le comptable chargé du recouvrement ;</w:t>
      </w:r>
    </w:p>
    <w:p w14:paraId="62C4223A" w14:textId="77777777" w:rsidR="00797195" w:rsidRDefault="00000000">
      <w:pPr>
        <w:pStyle w:val="Paragraphedeliste"/>
        <w:numPr>
          <w:ilvl w:val="0"/>
          <w:numId w:val="2"/>
        </w:numPr>
        <w:spacing w:after="120" w:line="276" w:lineRule="auto"/>
        <w:jc w:val="both"/>
      </w:pPr>
      <w:r>
        <w:t>Sont affiliées à la CNSS ou à un régime particulier de prévoyance sociale, et souscrivent régulièrement leurs déclarations de salaire auprès de ces organismes.</w:t>
      </w:r>
    </w:p>
    <w:p w14:paraId="1961E5D0" w14:textId="77777777" w:rsidR="00797195" w:rsidRDefault="00000000">
      <w:pPr>
        <w:spacing w:before="200" w:after="120" w:line="276" w:lineRule="auto"/>
        <w:jc w:val="both"/>
      </w:pPr>
      <w:r>
        <w:rPr>
          <w:b/>
          <w:bCs/>
        </w:rPr>
        <w:t>Ne sont pas admises à participer à la présente consultation :</w:t>
      </w:r>
    </w:p>
    <w:p w14:paraId="5BBA0EC3" w14:textId="77777777" w:rsidR="00797195" w:rsidRDefault="00000000">
      <w:pPr>
        <w:pStyle w:val="Paragraphedeliste"/>
        <w:numPr>
          <w:ilvl w:val="0"/>
          <w:numId w:val="2"/>
        </w:numPr>
        <w:spacing w:after="120" w:line="276" w:lineRule="auto"/>
        <w:jc w:val="both"/>
      </w:pPr>
      <w:r>
        <w:t>Les personnes physiques ou morales qui sont en liquidation judiciaire ;</w:t>
      </w:r>
    </w:p>
    <w:p w14:paraId="0BD54382" w14:textId="77777777" w:rsidR="00797195" w:rsidRDefault="00000000">
      <w:pPr>
        <w:pStyle w:val="Paragraphedeliste"/>
        <w:numPr>
          <w:ilvl w:val="0"/>
          <w:numId w:val="2"/>
        </w:numPr>
        <w:spacing w:after="120" w:line="276" w:lineRule="auto"/>
        <w:jc w:val="both"/>
      </w:pPr>
      <w:r>
        <w:t>Les personnes physiques ou morales qui sont en redressement judiciaire, sauf autorisation spéciale délivrée par l’autorité judiciaire compétente ;</w:t>
      </w:r>
    </w:p>
    <w:p w14:paraId="0F8B7E96" w14:textId="77777777" w:rsidR="00797195" w:rsidRDefault="00000000">
      <w:pPr>
        <w:pStyle w:val="Paragraphedeliste"/>
        <w:numPr>
          <w:ilvl w:val="0"/>
          <w:numId w:val="2"/>
        </w:numPr>
        <w:spacing w:after="120" w:line="276" w:lineRule="auto"/>
        <w:jc w:val="both"/>
      </w:pPr>
      <w:r>
        <w:t>Les personnes physiques ou morales qui représentent plus d’un concurrent dans la présente consultation.</w:t>
      </w:r>
    </w:p>
    <w:p w14:paraId="75840858" w14:textId="77777777" w:rsidR="00797195" w:rsidRDefault="00000000">
      <w:pPr>
        <w:spacing w:after="120" w:line="276" w:lineRule="auto"/>
        <w:jc w:val="both"/>
      </w:pPr>
      <w:r>
        <w:t>Les concurrents peuvent constituer des groupements pour présenter une offre unique. Le groupement désignera un mandataire représentant les membres dudit groupement lors de la procédure de passation, le cas échéant, et vis-à-vis de l’AMH lors de la phase d’exécution.</w:t>
      </w:r>
    </w:p>
    <w:p w14:paraId="65411F96" w14:textId="77777777" w:rsidR="00797195" w:rsidRDefault="00000000">
      <w:pPr>
        <w:pBdr>
          <w:bottom w:val="single" w:sz="2" w:space="0" w:color="212E98"/>
        </w:pBdr>
        <w:spacing w:before="360" w:after="200" w:line="276" w:lineRule="auto"/>
        <w:jc w:val="both"/>
      </w:pPr>
      <w:r>
        <w:rPr>
          <w:b/>
          <w:bCs/>
          <w:color w:val="212E98"/>
          <w:sz w:val="24"/>
          <w:szCs w:val="24"/>
        </w:rPr>
        <w:t>Article 9 : Liste des pièces justifiant les capacités et qualités des concurrents</w:t>
      </w:r>
    </w:p>
    <w:p w14:paraId="0E65B502" w14:textId="77777777" w:rsidR="00797195" w:rsidRDefault="00000000">
      <w:pPr>
        <w:spacing w:after="120" w:line="276" w:lineRule="auto"/>
        <w:jc w:val="both"/>
      </w:pPr>
      <w:r>
        <w:t>Les dossiers présentés par chaque concurrent doivent être mis dans un pli fermé et cacheté portant : le nom et l’adresse du concurrent ; l’objet de la consultation ; la date et l’heure limites de dépôt des plis.</w:t>
      </w:r>
    </w:p>
    <w:p w14:paraId="6EDDB656" w14:textId="77777777" w:rsidR="00797195" w:rsidRDefault="00000000">
      <w:pPr>
        <w:spacing w:after="120" w:line="276" w:lineRule="auto"/>
        <w:jc w:val="both"/>
      </w:pPr>
      <w:r>
        <w:t>Ce pli contient trois (3) enveloppes comprenant pour chacune :</w:t>
      </w:r>
    </w:p>
    <w:p w14:paraId="4AA8EC50" w14:textId="77777777" w:rsidR="00797195" w:rsidRDefault="00000000">
      <w:pPr>
        <w:spacing w:before="200" w:after="120" w:line="276" w:lineRule="auto"/>
        <w:jc w:val="both"/>
      </w:pPr>
      <w:r>
        <w:rPr>
          <w:b/>
          <w:bCs/>
        </w:rPr>
        <w:t>Première enveloppe : Dossier administratif</w:t>
      </w:r>
    </w:p>
    <w:p w14:paraId="4D7EA8A1" w14:textId="77777777" w:rsidR="00797195" w:rsidRDefault="00000000">
      <w:pPr>
        <w:pStyle w:val="Paragraphedeliste"/>
        <w:numPr>
          <w:ilvl w:val="0"/>
          <w:numId w:val="5"/>
        </w:numPr>
        <w:spacing w:after="120" w:line="276" w:lineRule="auto"/>
        <w:jc w:val="both"/>
      </w:pPr>
      <w:r>
        <w:t>Le présent TDR avec toutes les pages paraphées, cachetées et signées avec apposition de la mention « lu et approuvé » ;</w:t>
      </w:r>
    </w:p>
    <w:p w14:paraId="0F181417" w14:textId="77777777" w:rsidR="00797195" w:rsidRDefault="00000000">
      <w:pPr>
        <w:pStyle w:val="Paragraphedeliste"/>
        <w:numPr>
          <w:ilvl w:val="0"/>
          <w:numId w:val="5"/>
        </w:numPr>
        <w:spacing w:after="120" w:line="276" w:lineRule="auto"/>
        <w:jc w:val="both"/>
      </w:pPr>
      <w:r>
        <w:t>Une déclaration sur l’honneur signée et cachetée par la personne habilitée, produite selon le modèle fourni en annexe ;</w:t>
      </w:r>
    </w:p>
    <w:p w14:paraId="29C7638A" w14:textId="77777777" w:rsidR="00797195" w:rsidRDefault="00000000">
      <w:pPr>
        <w:pStyle w:val="Paragraphedeliste"/>
        <w:numPr>
          <w:ilvl w:val="0"/>
          <w:numId w:val="5"/>
        </w:numPr>
        <w:spacing w:after="120" w:line="276" w:lineRule="auto"/>
        <w:jc w:val="both"/>
      </w:pPr>
      <w:r>
        <w:t>La ou les pièces justifiant les pouvoirs conférés à la personne agissant au nom du concurrent ;</w:t>
      </w:r>
    </w:p>
    <w:p w14:paraId="61426CEA" w14:textId="77777777" w:rsidR="00797195" w:rsidRDefault="00000000">
      <w:pPr>
        <w:pStyle w:val="Paragraphedeliste"/>
        <w:numPr>
          <w:ilvl w:val="0"/>
          <w:numId w:val="5"/>
        </w:numPr>
        <w:spacing w:after="120" w:line="276" w:lineRule="auto"/>
        <w:jc w:val="both"/>
      </w:pPr>
      <w:r>
        <w:t>Une attestation ou sa copie certifiée conforme délivrée depuis moins d’un an par l’administration compétente du lieu d’imposition certifiant que le concurrent est en situation fiscale régulière ;</w:t>
      </w:r>
    </w:p>
    <w:p w14:paraId="4C59274C" w14:textId="77777777" w:rsidR="00797195" w:rsidRDefault="00000000">
      <w:pPr>
        <w:pStyle w:val="Paragraphedeliste"/>
        <w:numPr>
          <w:ilvl w:val="0"/>
          <w:numId w:val="5"/>
        </w:numPr>
        <w:spacing w:after="120" w:line="276" w:lineRule="auto"/>
        <w:jc w:val="both"/>
      </w:pPr>
      <w:r>
        <w:t>Une attestation ou sa copie certifiée conforme délivrée depuis moins d’un an par la CNSS certifiant que le concurrent est en situation régulière envers cet organisme ;</w:t>
      </w:r>
    </w:p>
    <w:p w14:paraId="134563BB" w14:textId="77777777" w:rsidR="00797195" w:rsidRDefault="00000000">
      <w:pPr>
        <w:pStyle w:val="Paragraphedeliste"/>
        <w:numPr>
          <w:ilvl w:val="0"/>
          <w:numId w:val="5"/>
        </w:numPr>
        <w:spacing w:after="120" w:line="276" w:lineRule="auto"/>
        <w:jc w:val="both"/>
      </w:pPr>
      <w:r>
        <w:lastRenderedPageBreak/>
        <w:t>Le certificat d’immatriculation au registre de commerce pour les personnes assujetties à l’obligation d’immatriculation conformément à la législation en vigueur ;</w:t>
      </w:r>
    </w:p>
    <w:p w14:paraId="680FBD98" w14:textId="77777777" w:rsidR="00797195" w:rsidRDefault="00000000">
      <w:pPr>
        <w:pStyle w:val="Paragraphedeliste"/>
        <w:numPr>
          <w:ilvl w:val="0"/>
          <w:numId w:val="5"/>
        </w:numPr>
        <w:spacing w:after="120" w:line="276" w:lineRule="auto"/>
        <w:jc w:val="both"/>
      </w:pPr>
      <w:r>
        <w:t>En cas de groupement, une copie légalisée de la convention de la constitution du groupement accompagnée d’une note indiquant notamment l’objet de la convention, la nature du groupement, le mandataire, la durée de la convention, la répartition des prestations le cas échéant.</w:t>
      </w:r>
    </w:p>
    <w:p w14:paraId="3EE9670E" w14:textId="77777777" w:rsidR="00797195" w:rsidRDefault="00000000">
      <w:pPr>
        <w:spacing w:before="200" w:after="120" w:line="276" w:lineRule="auto"/>
        <w:jc w:val="both"/>
      </w:pPr>
      <w:r>
        <w:rPr>
          <w:b/>
          <w:bCs/>
        </w:rPr>
        <w:t>Deuxième enveloppe : Offre technique</w:t>
      </w:r>
    </w:p>
    <w:p w14:paraId="1B236113" w14:textId="77777777" w:rsidR="00797195" w:rsidRDefault="00000000">
      <w:pPr>
        <w:pStyle w:val="Paragraphedeliste"/>
        <w:numPr>
          <w:ilvl w:val="0"/>
          <w:numId w:val="6"/>
        </w:numPr>
        <w:spacing w:after="120" w:line="276" w:lineRule="auto"/>
        <w:jc w:val="both"/>
      </w:pPr>
      <w:r>
        <w:t>Une note méthodologique détaillant l’approche pour mener la présente mission ;</w:t>
      </w:r>
    </w:p>
    <w:p w14:paraId="374FD957" w14:textId="77777777" w:rsidR="00797195" w:rsidRDefault="00000000">
      <w:pPr>
        <w:pStyle w:val="Paragraphedeliste"/>
        <w:numPr>
          <w:ilvl w:val="0"/>
          <w:numId w:val="6"/>
        </w:numPr>
        <w:spacing w:after="120" w:line="276" w:lineRule="auto"/>
        <w:jc w:val="both"/>
      </w:pPr>
      <w:r>
        <w:t>Le CV du directeur de mission qui sera notamment le contact permanent de l’AMH pour l’exécution de l’ensemble des prestations. Le directeur de mission doit avoir, à minima, une formation de bac+5 et cinq années d’expérience ;</w:t>
      </w:r>
    </w:p>
    <w:p w14:paraId="0D51A45E" w14:textId="77777777" w:rsidR="00797195" w:rsidRDefault="00000000">
      <w:pPr>
        <w:pStyle w:val="Paragraphedeliste"/>
        <w:numPr>
          <w:ilvl w:val="0"/>
          <w:numId w:val="6"/>
        </w:numPr>
        <w:spacing w:after="120" w:line="276" w:lineRule="auto"/>
        <w:jc w:val="both"/>
      </w:pPr>
      <w:r>
        <w:t>Une note sur tous les moyens humains et techniques que le Prestataire compte mobiliser ;</w:t>
      </w:r>
    </w:p>
    <w:p w14:paraId="101B61C0" w14:textId="77777777" w:rsidR="00797195" w:rsidRDefault="00000000">
      <w:pPr>
        <w:pStyle w:val="Paragraphedeliste"/>
        <w:numPr>
          <w:ilvl w:val="0"/>
          <w:numId w:val="6"/>
        </w:numPr>
        <w:spacing w:after="120" w:line="276" w:lineRule="auto"/>
        <w:jc w:val="both"/>
      </w:pPr>
      <w:r>
        <w:t>Le planning prévisionnel de la mission ;</w:t>
      </w:r>
    </w:p>
    <w:p w14:paraId="0581ADB0" w14:textId="77777777" w:rsidR="00797195" w:rsidRDefault="00000000">
      <w:pPr>
        <w:pStyle w:val="Paragraphedeliste"/>
        <w:numPr>
          <w:ilvl w:val="0"/>
          <w:numId w:val="6"/>
        </w:numPr>
        <w:spacing w:after="120" w:line="276" w:lineRule="auto"/>
        <w:jc w:val="both"/>
      </w:pPr>
      <w:r>
        <w:t>Des attestations de référence sur des projets similaires seraient un plus.</w:t>
      </w:r>
    </w:p>
    <w:p w14:paraId="5AF0EF7C" w14:textId="77777777" w:rsidR="00797195" w:rsidRDefault="00000000">
      <w:pPr>
        <w:spacing w:after="120" w:line="276" w:lineRule="auto"/>
        <w:jc w:val="both"/>
      </w:pPr>
      <w:r>
        <w:rPr>
          <w:i/>
          <w:iCs/>
        </w:rPr>
        <w:t>Le concurrent peut joindre à sa proposition des informations complémentaires ou des commentaires qu’il juge pertinents.</w:t>
      </w:r>
    </w:p>
    <w:p w14:paraId="68204AE0" w14:textId="77777777" w:rsidR="00797195" w:rsidRDefault="00000000">
      <w:pPr>
        <w:spacing w:before="200" w:after="120" w:line="276" w:lineRule="auto"/>
        <w:jc w:val="both"/>
      </w:pPr>
      <w:r>
        <w:rPr>
          <w:b/>
          <w:bCs/>
        </w:rPr>
        <w:t xml:space="preserve">N.B. : </w:t>
      </w:r>
      <w:r>
        <w:t>Cas des groupements :</w:t>
      </w:r>
    </w:p>
    <w:p w14:paraId="39E5639E" w14:textId="77777777" w:rsidR="00797195" w:rsidRDefault="00000000">
      <w:pPr>
        <w:pStyle w:val="Paragraphedeliste"/>
        <w:numPr>
          <w:ilvl w:val="0"/>
          <w:numId w:val="2"/>
        </w:numPr>
        <w:spacing w:after="120" w:line="276" w:lineRule="auto"/>
        <w:jc w:val="both"/>
      </w:pPr>
      <w:r>
        <w:t>En cas de groupement solidaire, les capacités financières et techniques sont jugées sur la base d’une mise en commun des moyens humains, techniques et financiers de l’ensemble de ses membres.</w:t>
      </w:r>
    </w:p>
    <w:p w14:paraId="302B81FC" w14:textId="77777777" w:rsidR="00797195" w:rsidRDefault="00000000">
      <w:pPr>
        <w:pStyle w:val="Paragraphedeliste"/>
        <w:numPr>
          <w:ilvl w:val="0"/>
          <w:numId w:val="2"/>
        </w:numPr>
        <w:spacing w:after="120" w:line="276" w:lineRule="auto"/>
        <w:jc w:val="both"/>
      </w:pPr>
      <w:r>
        <w:t>En cas de groupement conjoint, chaque membre du groupement y compris le mandataire doit justifier individuellement des capacités financières et techniques requises.</w:t>
      </w:r>
    </w:p>
    <w:p w14:paraId="1026755E" w14:textId="77777777" w:rsidR="00797195" w:rsidRDefault="00000000">
      <w:pPr>
        <w:pStyle w:val="Paragraphedeliste"/>
        <w:numPr>
          <w:ilvl w:val="0"/>
          <w:numId w:val="2"/>
        </w:numPr>
        <w:spacing w:after="120" w:line="276" w:lineRule="auto"/>
        <w:jc w:val="both"/>
      </w:pPr>
      <w:r>
        <w:t>Quelle que soit sa nature, les pièces du dossier technique sont fournies par chacun des membres du groupement.</w:t>
      </w:r>
    </w:p>
    <w:p w14:paraId="2E71624E" w14:textId="77777777" w:rsidR="00797195" w:rsidRDefault="00000000">
      <w:pPr>
        <w:pStyle w:val="Paragraphedeliste"/>
        <w:numPr>
          <w:ilvl w:val="0"/>
          <w:numId w:val="2"/>
        </w:numPr>
        <w:spacing w:after="120" w:line="276" w:lineRule="auto"/>
        <w:jc w:val="both"/>
      </w:pPr>
      <w:r>
        <w:t>Seules les attestations du concurrent ou des membres du groupement sont prises en compte. Les attestations des sous-traitants ne sont pas prises en compte.</w:t>
      </w:r>
    </w:p>
    <w:p w14:paraId="4ED504EE" w14:textId="77777777" w:rsidR="00797195" w:rsidRDefault="00000000">
      <w:pPr>
        <w:spacing w:before="200" w:after="120" w:line="276" w:lineRule="auto"/>
        <w:jc w:val="both"/>
      </w:pPr>
      <w:r>
        <w:rPr>
          <w:b/>
          <w:bCs/>
        </w:rPr>
        <w:t>Troisième enveloppe : Offre financière</w:t>
      </w:r>
    </w:p>
    <w:p w14:paraId="5D2AF9F2" w14:textId="77777777" w:rsidR="00797195" w:rsidRDefault="00000000">
      <w:pPr>
        <w:spacing w:after="120" w:line="276" w:lineRule="auto"/>
        <w:jc w:val="both"/>
      </w:pPr>
      <w:r>
        <w:t>L’offre financière est composée des pièces suivantes :</w:t>
      </w:r>
    </w:p>
    <w:p w14:paraId="54C3B0CC" w14:textId="77777777" w:rsidR="00797195" w:rsidRDefault="00000000">
      <w:pPr>
        <w:pStyle w:val="Paragraphedeliste"/>
        <w:numPr>
          <w:ilvl w:val="0"/>
          <w:numId w:val="2"/>
        </w:numPr>
        <w:spacing w:after="120" w:line="276" w:lineRule="auto"/>
        <w:jc w:val="both"/>
      </w:pPr>
      <w:r>
        <w:t>L’acte d’engagement selon le modèle fourni en annexe ;</w:t>
      </w:r>
    </w:p>
    <w:p w14:paraId="726273EC" w14:textId="77777777" w:rsidR="00797195" w:rsidRDefault="00000000">
      <w:pPr>
        <w:pStyle w:val="Paragraphedeliste"/>
        <w:numPr>
          <w:ilvl w:val="0"/>
          <w:numId w:val="2"/>
        </w:numPr>
        <w:spacing w:after="120" w:line="276" w:lineRule="auto"/>
        <w:jc w:val="both"/>
      </w:pPr>
      <w:r>
        <w:t>Le bordereau des prix — détail estimatif.</w:t>
      </w:r>
    </w:p>
    <w:p w14:paraId="46062191" w14:textId="77777777" w:rsidR="00797195" w:rsidRDefault="00000000">
      <w:pPr>
        <w:spacing w:after="120" w:line="276" w:lineRule="auto"/>
        <w:jc w:val="both"/>
      </w:pPr>
      <w:r>
        <w:t>Le montant de l’acte d’engagement ainsi que les prix unitaires du bordereau des prix et du détail estimatif doivent être indiqués en chiffres et en lettres. En cas de discordance, c’est le montant indiqué en lettres qui fait foi.</w:t>
      </w:r>
    </w:p>
    <w:p w14:paraId="744282D3" w14:textId="77777777" w:rsidR="00797195" w:rsidRDefault="00000000">
      <w:pPr>
        <w:spacing w:before="200" w:after="120" w:line="276" w:lineRule="auto"/>
        <w:jc w:val="both"/>
      </w:pPr>
      <w:r>
        <w:rPr>
          <w:b/>
          <w:bCs/>
          <w:color w:val="CC0000"/>
        </w:rPr>
        <w:lastRenderedPageBreak/>
        <w:t>Les documents scannés ne sont pas acceptés.</w:t>
      </w:r>
    </w:p>
    <w:p w14:paraId="36A1DFF9" w14:textId="77777777" w:rsidR="00797195" w:rsidRDefault="00000000">
      <w:pPr>
        <w:pBdr>
          <w:bottom w:val="single" w:sz="2" w:space="0" w:color="212E98"/>
        </w:pBdr>
        <w:spacing w:before="360" w:after="200" w:line="276" w:lineRule="auto"/>
        <w:jc w:val="both"/>
      </w:pPr>
      <w:r>
        <w:rPr>
          <w:b/>
          <w:bCs/>
          <w:color w:val="212E98"/>
          <w:sz w:val="24"/>
          <w:szCs w:val="24"/>
        </w:rPr>
        <w:t>Article 10 : Dépôt des plis des concurrents</w:t>
      </w:r>
    </w:p>
    <w:p w14:paraId="7B1A2F17" w14:textId="77777777" w:rsidR="00797195" w:rsidRDefault="00000000">
      <w:pPr>
        <w:spacing w:after="120" w:line="276" w:lineRule="auto"/>
        <w:jc w:val="both"/>
      </w:pPr>
      <w:r>
        <w:t>Le dépôt des plis est au choix des concurrents, soit :</w:t>
      </w:r>
    </w:p>
    <w:p w14:paraId="368D8B2E" w14:textId="77777777" w:rsidR="00797195" w:rsidRDefault="00000000">
      <w:pPr>
        <w:pStyle w:val="Paragraphedeliste"/>
        <w:numPr>
          <w:ilvl w:val="0"/>
          <w:numId w:val="2"/>
        </w:numPr>
        <w:spacing w:after="120" w:line="276" w:lineRule="auto"/>
        <w:jc w:val="both"/>
      </w:pPr>
      <w:r>
        <w:t xml:space="preserve">Déposés contre récépissé au secrétariat de l’AMH à l’adresse « </w:t>
      </w:r>
      <w:r>
        <w:rPr>
          <w:b/>
          <w:bCs/>
        </w:rPr>
        <w:t>77, Bd 9 Avril - Palmier – Casablanca</w:t>
      </w:r>
      <w:r>
        <w:t xml:space="preserve"> » ;</w:t>
      </w:r>
    </w:p>
    <w:p w14:paraId="6F212712" w14:textId="77777777" w:rsidR="00797195" w:rsidRDefault="00000000">
      <w:pPr>
        <w:pStyle w:val="Paragraphedeliste"/>
        <w:numPr>
          <w:ilvl w:val="0"/>
          <w:numId w:val="2"/>
        </w:numPr>
        <w:spacing w:after="120" w:line="276" w:lineRule="auto"/>
        <w:jc w:val="both"/>
      </w:pPr>
      <w:r>
        <w:t xml:space="preserve">Envoyés par courrier recommandé avec accusé de réception au nom de </w:t>
      </w:r>
      <w:r>
        <w:rPr>
          <w:b/>
          <w:bCs/>
        </w:rPr>
        <w:t>Youness Ajoutate</w:t>
      </w:r>
      <w:r>
        <w:t xml:space="preserve"> ;</w:t>
      </w:r>
    </w:p>
    <w:p w14:paraId="65E4C2B1" w14:textId="77777777" w:rsidR="00797195" w:rsidRDefault="00000000">
      <w:pPr>
        <w:spacing w:after="120" w:line="276" w:lineRule="auto"/>
        <w:jc w:val="both"/>
      </w:pPr>
      <w:r>
        <w:t xml:space="preserve">Les concurrents sont invités à notifier le dépôt ou l’envoi de leur pli par courrier électronique à l’adresse </w:t>
      </w:r>
      <w:r>
        <w:rPr>
          <w:b/>
          <w:bCs/>
        </w:rPr>
        <w:t>projets@amh.org.ma</w:t>
      </w:r>
      <w:r>
        <w:t xml:space="preserve"> et </w:t>
      </w:r>
      <w:r>
        <w:rPr>
          <w:b/>
          <w:bCs/>
        </w:rPr>
        <w:t>yajoutate@amh.org.ma</w:t>
      </w:r>
      <w:r>
        <w:t>, à des fins de suivi administratif. Cette notification ne conditionne pas la recevabilité du pli.</w:t>
      </w:r>
    </w:p>
    <w:p w14:paraId="140DE289" w14:textId="6A2C25AA" w:rsidR="00797195" w:rsidRDefault="00B76DB9" w:rsidP="00B76DB9">
      <w:pPr>
        <w:spacing w:after="120" w:line="276" w:lineRule="auto"/>
        <w:jc w:val="both"/>
      </w:pPr>
      <w:r w:rsidRPr="00B76DB9">
        <w:t xml:space="preserve">Le délai pour la réception des plis expire le </w:t>
      </w:r>
      <w:r w:rsidR="001A4FF1">
        <w:rPr>
          <w:b/>
          <w:bCs/>
        </w:rPr>
        <w:t>01</w:t>
      </w:r>
      <w:r w:rsidRPr="00B76DB9">
        <w:rPr>
          <w:b/>
          <w:bCs/>
        </w:rPr>
        <w:t xml:space="preserve"> </w:t>
      </w:r>
      <w:r w:rsidR="001A4FF1">
        <w:rPr>
          <w:b/>
          <w:bCs/>
        </w:rPr>
        <w:t>juin</w:t>
      </w:r>
      <w:r w:rsidRPr="00B76DB9">
        <w:rPr>
          <w:b/>
          <w:bCs/>
        </w:rPr>
        <w:t xml:space="preserve"> 2026 à 16h00</w:t>
      </w:r>
      <w:r w:rsidRPr="00B76DB9">
        <w:t>, date et heure limites indiquées dans l’avis de consultation et dans le présent cahier des charges. Les plis déposés ou reçus postérieurement au jour et à l’heure fixés ne sont pas admis.</w:t>
      </w:r>
    </w:p>
    <w:p w14:paraId="73B85A43" w14:textId="77777777" w:rsidR="00797195" w:rsidRDefault="00000000">
      <w:pPr>
        <w:pBdr>
          <w:bottom w:val="single" w:sz="2" w:space="0" w:color="212E98"/>
        </w:pBdr>
        <w:spacing w:before="360" w:after="200" w:line="276" w:lineRule="auto"/>
        <w:jc w:val="both"/>
      </w:pPr>
      <w:r>
        <w:rPr>
          <w:b/>
          <w:bCs/>
          <w:color w:val="212E98"/>
          <w:sz w:val="24"/>
          <w:szCs w:val="24"/>
        </w:rPr>
        <w:t>Article 11 : Critères de sélection du Prestataire</w:t>
      </w:r>
    </w:p>
    <w:p w14:paraId="026BBAE6" w14:textId="77777777" w:rsidR="00797195" w:rsidRDefault="00000000">
      <w:pPr>
        <w:spacing w:before="200" w:after="120" w:line="276" w:lineRule="auto"/>
        <w:jc w:val="both"/>
      </w:pPr>
      <w:r>
        <w:rPr>
          <w:b/>
          <w:bCs/>
        </w:rPr>
        <w:t>Principe général d’évaluation</w:t>
      </w:r>
    </w:p>
    <w:p w14:paraId="79EDB516" w14:textId="77777777" w:rsidR="00797195" w:rsidRDefault="00000000">
      <w:pPr>
        <w:spacing w:after="120" w:line="276" w:lineRule="auto"/>
        <w:jc w:val="both"/>
      </w:pPr>
      <w:r>
        <w:t xml:space="preserve">Les offres des candidats répondant </w:t>
      </w:r>
      <w:proofErr w:type="gramStart"/>
      <w:r>
        <w:t>a</w:t>
      </w:r>
      <w:proofErr w:type="gramEnd"/>
      <w:r>
        <w:t xml:space="preserve"> minima aux conditions requises décrites à l’Article 8 seront analysées et comparées sur la base de critères techniques et financiers, dans une logique d’appréciation globale de la qualité de l’offre et de son adéquation avec les exigences de la mission.</w:t>
      </w:r>
    </w:p>
    <w:p w14:paraId="2F48FB4A" w14:textId="77777777" w:rsidR="00797195" w:rsidRDefault="00000000">
      <w:pPr>
        <w:spacing w:before="200" w:after="120" w:line="276" w:lineRule="auto"/>
        <w:jc w:val="both"/>
      </w:pPr>
      <w:r>
        <w:rPr>
          <w:b/>
          <w:bCs/>
        </w:rPr>
        <w:t>Critères d’évaluation</w:t>
      </w:r>
    </w:p>
    <w:p w14:paraId="1DDD1ED3" w14:textId="77777777" w:rsidR="00797195" w:rsidRDefault="00000000">
      <w:pPr>
        <w:spacing w:before="120" w:after="120" w:line="276" w:lineRule="auto"/>
        <w:jc w:val="both"/>
      </w:pPr>
      <w:r>
        <w:rPr>
          <w:b/>
          <w:bCs/>
        </w:rPr>
        <w:t>Compréhension du besoin et qualité de la proposition méthodologique :</w:t>
      </w:r>
    </w:p>
    <w:p w14:paraId="46F44F6E" w14:textId="77777777" w:rsidR="00797195" w:rsidRDefault="00000000">
      <w:pPr>
        <w:pStyle w:val="Paragraphedeliste"/>
        <w:numPr>
          <w:ilvl w:val="0"/>
          <w:numId w:val="2"/>
        </w:numPr>
        <w:spacing w:after="120" w:line="276" w:lineRule="auto"/>
        <w:jc w:val="both"/>
      </w:pPr>
      <w:r>
        <w:t>Pertinence de l’analyse du contexte, des enjeux et du périmètre de la mission relative au pôle social de l’AMH ;</w:t>
      </w:r>
    </w:p>
    <w:p w14:paraId="25981371" w14:textId="77777777" w:rsidR="00797195" w:rsidRDefault="00000000">
      <w:pPr>
        <w:pStyle w:val="Paragraphedeliste"/>
        <w:numPr>
          <w:ilvl w:val="0"/>
          <w:numId w:val="2"/>
        </w:numPr>
        <w:spacing w:after="120" w:line="276" w:lineRule="auto"/>
        <w:jc w:val="both"/>
      </w:pPr>
      <w:r>
        <w:t>Clarté, cohérence et robustesse de la démarche proposée pour l’évaluation d’impact et la mise en place du dispositif de suivi-évaluation ;</w:t>
      </w:r>
    </w:p>
    <w:p w14:paraId="562E9FC7" w14:textId="77777777" w:rsidR="00797195" w:rsidRDefault="00000000">
      <w:pPr>
        <w:pStyle w:val="Paragraphedeliste"/>
        <w:numPr>
          <w:ilvl w:val="0"/>
          <w:numId w:val="2"/>
        </w:numPr>
        <w:spacing w:after="120" w:line="276" w:lineRule="auto"/>
        <w:jc w:val="both"/>
      </w:pPr>
      <w:r>
        <w:t>Adéquation de la méthodologie proposée avec la diversité des services couverts par les guichets, des publics accompagnés et des parties prenantes concernées ;</w:t>
      </w:r>
    </w:p>
    <w:p w14:paraId="55B48B4E" w14:textId="77777777" w:rsidR="00797195" w:rsidRDefault="00000000">
      <w:pPr>
        <w:pStyle w:val="Paragraphedeliste"/>
        <w:numPr>
          <w:ilvl w:val="0"/>
          <w:numId w:val="2"/>
        </w:numPr>
        <w:spacing w:after="120" w:line="276" w:lineRule="auto"/>
        <w:jc w:val="both"/>
      </w:pPr>
      <w:r>
        <w:t>Pertinence de l’approche proposée pour la réalisation d’une analyse du retour social sur investissement (SROI) ;</w:t>
      </w:r>
    </w:p>
    <w:p w14:paraId="0A510C67" w14:textId="77777777" w:rsidR="00797195" w:rsidRDefault="00000000">
      <w:pPr>
        <w:pStyle w:val="Paragraphedeliste"/>
        <w:numPr>
          <w:ilvl w:val="0"/>
          <w:numId w:val="2"/>
        </w:numPr>
        <w:spacing w:after="120" w:line="276" w:lineRule="auto"/>
        <w:jc w:val="both"/>
      </w:pPr>
      <w:r>
        <w:t>Prise en compte de la dimension participative et des modalités d’appropriation des outils et résultats par les équipes de l’AMH.</w:t>
      </w:r>
    </w:p>
    <w:p w14:paraId="62556F75" w14:textId="77777777" w:rsidR="00797195" w:rsidRDefault="00000000">
      <w:pPr>
        <w:spacing w:before="120" w:after="120" w:line="276" w:lineRule="auto"/>
        <w:jc w:val="both"/>
      </w:pPr>
      <w:r>
        <w:rPr>
          <w:b/>
          <w:bCs/>
        </w:rPr>
        <w:t>Organisation de la mission et dispositif d’assurance qualité :</w:t>
      </w:r>
    </w:p>
    <w:p w14:paraId="02A1C382" w14:textId="77777777" w:rsidR="00797195" w:rsidRDefault="00000000">
      <w:pPr>
        <w:pStyle w:val="Paragraphedeliste"/>
        <w:numPr>
          <w:ilvl w:val="0"/>
          <w:numId w:val="2"/>
        </w:numPr>
        <w:spacing w:after="120" w:line="276" w:lineRule="auto"/>
        <w:jc w:val="both"/>
      </w:pPr>
      <w:r>
        <w:t>Pertinence de la structuration de la mission (phases, jalons, livrables, gouvernance de projet) ;</w:t>
      </w:r>
    </w:p>
    <w:p w14:paraId="12D60A33" w14:textId="77777777" w:rsidR="00797195" w:rsidRDefault="00000000">
      <w:pPr>
        <w:pStyle w:val="Paragraphedeliste"/>
        <w:numPr>
          <w:ilvl w:val="0"/>
          <w:numId w:val="2"/>
        </w:numPr>
        <w:spacing w:after="120" w:line="276" w:lineRule="auto"/>
        <w:jc w:val="both"/>
      </w:pPr>
      <w:r>
        <w:lastRenderedPageBreak/>
        <w:t>Modalités de coordination et d’interaction avec l’AMH, la Fondation CDG et les parties prenantes ;</w:t>
      </w:r>
    </w:p>
    <w:p w14:paraId="3852144E" w14:textId="77777777" w:rsidR="00797195" w:rsidRDefault="00000000">
      <w:pPr>
        <w:pStyle w:val="Paragraphedeliste"/>
        <w:numPr>
          <w:ilvl w:val="0"/>
          <w:numId w:val="2"/>
        </w:numPr>
        <w:spacing w:after="120" w:line="276" w:lineRule="auto"/>
        <w:jc w:val="both"/>
      </w:pPr>
      <w:r>
        <w:t>Qualité et solidité du dispositif d’assurance qualité proposé ;</w:t>
      </w:r>
    </w:p>
    <w:p w14:paraId="3FE1D3A5" w14:textId="77777777" w:rsidR="00797195" w:rsidRDefault="00000000">
      <w:pPr>
        <w:pStyle w:val="Paragraphedeliste"/>
        <w:numPr>
          <w:ilvl w:val="0"/>
          <w:numId w:val="2"/>
        </w:numPr>
        <w:spacing w:after="120" w:line="276" w:lineRule="auto"/>
        <w:jc w:val="both"/>
      </w:pPr>
      <w:r>
        <w:t>Réalisme de l’organisation proposée pour la conduite des travaux.</w:t>
      </w:r>
    </w:p>
    <w:p w14:paraId="55813C94" w14:textId="77777777" w:rsidR="00797195" w:rsidRDefault="00000000">
      <w:pPr>
        <w:spacing w:before="120" w:after="120" w:line="276" w:lineRule="auto"/>
        <w:jc w:val="both"/>
      </w:pPr>
      <w:r>
        <w:rPr>
          <w:b/>
          <w:bCs/>
        </w:rPr>
        <w:t>Références et expériences du prestataire :</w:t>
      </w:r>
    </w:p>
    <w:p w14:paraId="59FDD939" w14:textId="77777777" w:rsidR="00797195" w:rsidRDefault="00000000">
      <w:pPr>
        <w:pStyle w:val="Paragraphedeliste"/>
        <w:numPr>
          <w:ilvl w:val="0"/>
          <w:numId w:val="2"/>
        </w:numPr>
        <w:spacing w:after="120" w:line="276" w:lineRule="auto"/>
        <w:jc w:val="both"/>
      </w:pPr>
      <w:r>
        <w:t>Expériences antérieures en matière d’évaluation d’impact et de suivi-évaluation dans le secteur associatif ;</w:t>
      </w:r>
    </w:p>
    <w:p w14:paraId="7A834947" w14:textId="77777777" w:rsidR="00797195" w:rsidRDefault="00000000">
      <w:pPr>
        <w:pStyle w:val="Paragraphedeliste"/>
        <w:numPr>
          <w:ilvl w:val="0"/>
          <w:numId w:val="2"/>
        </w:numPr>
        <w:spacing w:after="120" w:line="276" w:lineRule="auto"/>
        <w:jc w:val="both"/>
      </w:pPr>
      <w:r>
        <w:t>Réalisations comparables en lien avec l’inclusion, le handicap, l’accompagnement social, l’insertion ou l’éducation ;</w:t>
      </w:r>
    </w:p>
    <w:p w14:paraId="199F2660" w14:textId="77777777" w:rsidR="00797195" w:rsidRDefault="00000000">
      <w:pPr>
        <w:pStyle w:val="Paragraphedeliste"/>
        <w:numPr>
          <w:ilvl w:val="0"/>
          <w:numId w:val="2"/>
        </w:numPr>
        <w:spacing w:after="120" w:line="276" w:lineRule="auto"/>
        <w:jc w:val="both"/>
      </w:pPr>
      <w:r>
        <w:t>Expériences avérées dans la réalisation d’analyses SROI ou de démarches similaires ;</w:t>
      </w:r>
    </w:p>
    <w:p w14:paraId="098FF4D7" w14:textId="77777777" w:rsidR="00797195" w:rsidRDefault="00000000">
      <w:pPr>
        <w:pStyle w:val="Paragraphedeliste"/>
        <w:numPr>
          <w:ilvl w:val="0"/>
          <w:numId w:val="2"/>
        </w:numPr>
        <w:spacing w:after="120" w:line="276" w:lineRule="auto"/>
        <w:jc w:val="both"/>
      </w:pPr>
      <w:r>
        <w:t>Pertinence des références fournies au regard des champs d’intervention concernés.</w:t>
      </w:r>
    </w:p>
    <w:p w14:paraId="72B085EA" w14:textId="77777777" w:rsidR="00797195" w:rsidRDefault="00000000">
      <w:pPr>
        <w:spacing w:before="120" w:after="120" w:line="276" w:lineRule="auto"/>
        <w:jc w:val="both"/>
      </w:pPr>
      <w:r>
        <w:rPr>
          <w:b/>
          <w:bCs/>
        </w:rPr>
        <w:t>Composition et qualité de l’équipe proposée :</w:t>
      </w:r>
    </w:p>
    <w:p w14:paraId="790E497B" w14:textId="77777777" w:rsidR="00797195" w:rsidRDefault="00000000">
      <w:pPr>
        <w:pStyle w:val="Paragraphedeliste"/>
        <w:numPr>
          <w:ilvl w:val="0"/>
          <w:numId w:val="2"/>
        </w:numPr>
        <w:spacing w:after="120" w:line="276" w:lineRule="auto"/>
        <w:jc w:val="both"/>
      </w:pPr>
      <w:r>
        <w:t>Complémentarité des profils mobilisés ;</w:t>
      </w:r>
    </w:p>
    <w:p w14:paraId="3425EE0B" w14:textId="77777777" w:rsidR="00797195" w:rsidRDefault="00000000">
      <w:pPr>
        <w:pStyle w:val="Paragraphedeliste"/>
        <w:numPr>
          <w:ilvl w:val="0"/>
          <w:numId w:val="2"/>
        </w:numPr>
        <w:spacing w:after="120" w:line="276" w:lineRule="auto"/>
        <w:jc w:val="both"/>
      </w:pPr>
      <w:r>
        <w:t>Expérience des membres de l’équipe dans des missions comparables ;</w:t>
      </w:r>
    </w:p>
    <w:p w14:paraId="2E29E74D" w14:textId="77777777" w:rsidR="00797195" w:rsidRDefault="00000000">
      <w:pPr>
        <w:pStyle w:val="Paragraphedeliste"/>
        <w:numPr>
          <w:ilvl w:val="0"/>
          <w:numId w:val="2"/>
        </w:numPr>
        <w:spacing w:after="120" w:line="276" w:lineRule="auto"/>
        <w:jc w:val="both"/>
      </w:pPr>
      <w:r>
        <w:t>Disponibilité effective de l’équipe sur toute la durée de la mission.</w:t>
      </w:r>
    </w:p>
    <w:p w14:paraId="189B3D82" w14:textId="77777777" w:rsidR="00797195" w:rsidRDefault="00000000">
      <w:pPr>
        <w:spacing w:before="120" w:after="120" w:line="276" w:lineRule="auto"/>
        <w:jc w:val="both"/>
      </w:pPr>
      <w:r>
        <w:rPr>
          <w:b/>
          <w:bCs/>
        </w:rPr>
        <w:t>Planification et offre financière :</w:t>
      </w:r>
    </w:p>
    <w:p w14:paraId="1693511D" w14:textId="77777777" w:rsidR="00797195" w:rsidRDefault="00000000">
      <w:pPr>
        <w:pStyle w:val="Paragraphedeliste"/>
        <w:numPr>
          <w:ilvl w:val="0"/>
          <w:numId w:val="2"/>
        </w:numPr>
        <w:spacing w:after="120" w:line="276" w:lineRule="auto"/>
        <w:jc w:val="both"/>
      </w:pPr>
      <w:r>
        <w:t>Réalisme du calendrier proposé et cohérence avec la durée indicative de la mission ;</w:t>
      </w:r>
    </w:p>
    <w:p w14:paraId="2C9B7172" w14:textId="77777777" w:rsidR="00797195" w:rsidRDefault="00000000">
      <w:pPr>
        <w:pStyle w:val="Paragraphedeliste"/>
        <w:numPr>
          <w:ilvl w:val="0"/>
          <w:numId w:val="2"/>
        </w:numPr>
        <w:spacing w:after="120" w:line="276" w:lineRule="auto"/>
        <w:jc w:val="both"/>
      </w:pPr>
      <w:r>
        <w:t>Répartition claire et justifiée des charges de travail par phase et par profil ;</w:t>
      </w:r>
    </w:p>
    <w:p w14:paraId="625BE6D2" w14:textId="77777777" w:rsidR="00797195" w:rsidRDefault="00000000">
      <w:pPr>
        <w:pStyle w:val="Paragraphedeliste"/>
        <w:numPr>
          <w:ilvl w:val="0"/>
          <w:numId w:val="2"/>
        </w:numPr>
        <w:spacing w:after="120" w:line="276" w:lineRule="auto"/>
        <w:jc w:val="both"/>
      </w:pPr>
      <w:r>
        <w:t>Cohérence globale de l’offre financière au regard de la méthodologie proposée.</w:t>
      </w:r>
    </w:p>
    <w:p w14:paraId="7AB30045" w14:textId="77777777" w:rsidR="00797195" w:rsidRDefault="00000000">
      <w:pPr>
        <w:spacing w:before="200" w:after="120" w:line="276" w:lineRule="auto"/>
        <w:jc w:val="both"/>
      </w:pPr>
      <w:r>
        <w:rPr>
          <w:b/>
          <w:bCs/>
        </w:rPr>
        <w:t>Grille de notation</w:t>
      </w:r>
    </w:p>
    <w:p w14:paraId="401E4C2E" w14:textId="77777777" w:rsidR="00797195" w:rsidRDefault="00797195">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4726"/>
        <w:gridCol w:w="1500"/>
      </w:tblGrid>
      <w:tr w:rsidR="00797195" w14:paraId="5FA61E9F" w14:textId="77777777">
        <w:tc>
          <w:tcPr>
            <w:tcW w:w="2800" w:type="dxa"/>
            <w:tcBorders>
              <w:top w:val="single" w:sz="1" w:space="0" w:color="CCCCCC"/>
              <w:left w:val="single" w:sz="1" w:space="0" w:color="CCCCCC"/>
              <w:bottom w:val="single" w:sz="1" w:space="0" w:color="CCCCCC"/>
              <w:right w:val="single" w:sz="1" w:space="0" w:color="CCCCCC"/>
            </w:tcBorders>
            <w:shd w:val="clear" w:color="auto" w:fill="212E98"/>
            <w:tcMar>
              <w:top w:w="60" w:type="dxa"/>
              <w:left w:w="100" w:type="dxa"/>
              <w:bottom w:w="60" w:type="dxa"/>
              <w:right w:w="100" w:type="dxa"/>
            </w:tcMar>
            <w:vAlign w:val="center"/>
          </w:tcPr>
          <w:p w14:paraId="655D56F4" w14:textId="77777777" w:rsidR="00797195" w:rsidRDefault="00000000">
            <w:pPr>
              <w:spacing w:line="276" w:lineRule="auto"/>
              <w:jc w:val="center"/>
            </w:pPr>
            <w:r>
              <w:rPr>
                <w:b/>
                <w:bCs/>
                <w:color w:val="FFFFFF"/>
                <w:sz w:val="20"/>
                <w:szCs w:val="20"/>
              </w:rPr>
              <w:t>Critère évalué</w:t>
            </w:r>
          </w:p>
        </w:tc>
        <w:tc>
          <w:tcPr>
            <w:tcW w:w="4726" w:type="dxa"/>
            <w:tcBorders>
              <w:top w:val="single" w:sz="1" w:space="0" w:color="CCCCCC"/>
              <w:left w:val="single" w:sz="1" w:space="0" w:color="CCCCCC"/>
              <w:bottom w:val="single" w:sz="1" w:space="0" w:color="CCCCCC"/>
              <w:right w:val="single" w:sz="1" w:space="0" w:color="CCCCCC"/>
            </w:tcBorders>
            <w:shd w:val="clear" w:color="auto" w:fill="212E98"/>
            <w:tcMar>
              <w:top w:w="60" w:type="dxa"/>
              <w:left w:w="100" w:type="dxa"/>
              <w:bottom w:w="60" w:type="dxa"/>
              <w:right w:w="100" w:type="dxa"/>
            </w:tcMar>
            <w:vAlign w:val="center"/>
          </w:tcPr>
          <w:p w14:paraId="48DDAB1A" w14:textId="77777777" w:rsidR="00797195" w:rsidRDefault="00000000">
            <w:pPr>
              <w:spacing w:line="276" w:lineRule="auto"/>
              <w:jc w:val="center"/>
            </w:pPr>
            <w:r>
              <w:rPr>
                <w:b/>
                <w:bCs/>
                <w:color w:val="FFFFFF"/>
                <w:sz w:val="20"/>
                <w:szCs w:val="20"/>
              </w:rPr>
              <w:t>Grille de notation (sur 20 points)</w:t>
            </w:r>
          </w:p>
        </w:tc>
        <w:tc>
          <w:tcPr>
            <w:tcW w:w="1500" w:type="dxa"/>
            <w:tcBorders>
              <w:top w:val="single" w:sz="1" w:space="0" w:color="CCCCCC"/>
              <w:left w:val="single" w:sz="1" w:space="0" w:color="CCCCCC"/>
              <w:bottom w:val="single" w:sz="1" w:space="0" w:color="CCCCCC"/>
              <w:right w:val="single" w:sz="1" w:space="0" w:color="CCCCCC"/>
            </w:tcBorders>
            <w:shd w:val="clear" w:color="auto" w:fill="212E98"/>
            <w:tcMar>
              <w:top w:w="60" w:type="dxa"/>
              <w:left w:w="100" w:type="dxa"/>
              <w:bottom w:w="60" w:type="dxa"/>
              <w:right w:w="100" w:type="dxa"/>
            </w:tcMar>
            <w:vAlign w:val="center"/>
          </w:tcPr>
          <w:p w14:paraId="7AF9E3D3" w14:textId="77777777" w:rsidR="00797195" w:rsidRDefault="00000000">
            <w:pPr>
              <w:spacing w:line="276" w:lineRule="auto"/>
              <w:jc w:val="center"/>
            </w:pPr>
            <w:r>
              <w:rPr>
                <w:b/>
                <w:bCs/>
                <w:color w:val="FFFFFF"/>
                <w:sz w:val="20"/>
                <w:szCs w:val="20"/>
              </w:rPr>
              <w:t>Note</w:t>
            </w:r>
          </w:p>
        </w:tc>
      </w:tr>
      <w:tr w:rsidR="00797195" w14:paraId="4219C8A8" w14:textId="77777777">
        <w:tc>
          <w:tcPr>
            <w:tcW w:w="2800" w:type="dxa"/>
            <w:tcBorders>
              <w:top w:val="single" w:sz="1" w:space="0" w:color="CCCCCC"/>
              <w:left w:val="single" w:sz="1" w:space="0" w:color="CCCCCC"/>
              <w:bottom w:val="single" w:sz="1" w:space="0" w:color="CCCCCC"/>
              <w:right w:val="single" w:sz="1" w:space="0" w:color="CCCCCC"/>
            </w:tcBorders>
            <w:shd w:val="clear" w:color="auto" w:fill="E8EBF7"/>
            <w:tcMar>
              <w:top w:w="60" w:type="dxa"/>
              <w:left w:w="100" w:type="dxa"/>
              <w:bottom w:w="60" w:type="dxa"/>
              <w:right w:w="100" w:type="dxa"/>
            </w:tcMar>
            <w:vAlign w:val="center"/>
          </w:tcPr>
          <w:p w14:paraId="02F1951A" w14:textId="77777777" w:rsidR="00797195" w:rsidRDefault="00000000">
            <w:pPr>
              <w:spacing w:line="276" w:lineRule="auto"/>
              <w:jc w:val="both"/>
            </w:pPr>
            <w:r>
              <w:rPr>
                <w:b/>
                <w:bCs/>
                <w:sz w:val="20"/>
                <w:szCs w:val="20"/>
              </w:rPr>
              <w:t>1. Note méthodologique</w:t>
            </w:r>
          </w:p>
        </w:tc>
        <w:tc>
          <w:tcPr>
            <w:tcW w:w="4726" w:type="dxa"/>
            <w:tcBorders>
              <w:top w:val="single" w:sz="1" w:space="0" w:color="CCCCCC"/>
              <w:left w:val="single" w:sz="1" w:space="0" w:color="CCCCCC"/>
              <w:bottom w:val="single" w:sz="1" w:space="0" w:color="CCCCCC"/>
              <w:right w:val="single" w:sz="1" w:space="0" w:color="CCCCCC"/>
            </w:tcBorders>
            <w:shd w:val="clear" w:color="auto" w:fill="E8EBF7"/>
            <w:tcMar>
              <w:top w:w="60" w:type="dxa"/>
              <w:left w:w="100" w:type="dxa"/>
              <w:bottom w:w="60" w:type="dxa"/>
              <w:right w:w="100" w:type="dxa"/>
            </w:tcMar>
            <w:vAlign w:val="center"/>
          </w:tcPr>
          <w:p w14:paraId="08F1CA09" w14:textId="77777777" w:rsidR="00797195" w:rsidRDefault="00000000">
            <w:pPr>
              <w:spacing w:line="276" w:lineRule="auto"/>
              <w:jc w:val="both"/>
            </w:pPr>
            <w:r>
              <w:rPr>
                <w:b/>
                <w:bCs/>
                <w:sz w:val="20"/>
                <w:szCs w:val="20"/>
              </w:rPr>
              <w:t>Notation du critère n°1 sur 08 points</w:t>
            </w:r>
          </w:p>
        </w:tc>
        <w:tc>
          <w:tcPr>
            <w:tcW w:w="1500" w:type="dxa"/>
            <w:tcBorders>
              <w:top w:val="single" w:sz="1" w:space="0" w:color="CCCCCC"/>
              <w:left w:val="single" w:sz="1" w:space="0" w:color="CCCCCC"/>
              <w:bottom w:val="single" w:sz="1" w:space="0" w:color="CCCCCC"/>
              <w:right w:val="single" w:sz="1" w:space="0" w:color="CCCCCC"/>
            </w:tcBorders>
            <w:shd w:val="clear" w:color="auto" w:fill="E8EBF7"/>
            <w:tcMar>
              <w:top w:w="60" w:type="dxa"/>
              <w:left w:w="100" w:type="dxa"/>
              <w:bottom w:w="60" w:type="dxa"/>
              <w:right w:w="100" w:type="dxa"/>
            </w:tcMar>
            <w:vAlign w:val="center"/>
          </w:tcPr>
          <w:p w14:paraId="3EE0689B" w14:textId="77777777" w:rsidR="00797195" w:rsidRDefault="00797195">
            <w:pPr>
              <w:spacing w:line="276" w:lineRule="auto"/>
            </w:pPr>
          </w:p>
        </w:tc>
      </w:tr>
      <w:tr w:rsidR="00797195" w14:paraId="195BBEA9" w14:textId="77777777">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7233B516" w14:textId="77777777" w:rsidR="00797195" w:rsidRDefault="00797195">
            <w:pPr>
              <w:spacing w:line="276" w:lineRule="auto"/>
            </w:pPr>
          </w:p>
        </w:tc>
        <w:tc>
          <w:tcPr>
            <w:tcW w:w="47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4B707F3" w14:textId="77777777" w:rsidR="00797195" w:rsidRDefault="00000000">
            <w:pPr>
              <w:spacing w:line="276" w:lineRule="auto"/>
            </w:pPr>
            <w:r>
              <w:rPr>
                <w:sz w:val="20"/>
                <w:szCs w:val="20"/>
              </w:rPr>
              <w:t>Dépasse les attentes : 08 points</w:t>
            </w:r>
          </w:p>
        </w:tc>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CB8D1F7" w14:textId="77777777" w:rsidR="00797195" w:rsidRDefault="00797195">
            <w:pPr>
              <w:spacing w:line="276" w:lineRule="auto"/>
            </w:pPr>
          </w:p>
        </w:tc>
      </w:tr>
      <w:tr w:rsidR="00797195" w14:paraId="702569F7" w14:textId="77777777">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FAE0945" w14:textId="77777777" w:rsidR="00797195" w:rsidRDefault="00797195">
            <w:pPr>
              <w:spacing w:line="276" w:lineRule="auto"/>
            </w:pPr>
          </w:p>
        </w:tc>
        <w:tc>
          <w:tcPr>
            <w:tcW w:w="47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2A69EE5" w14:textId="77777777" w:rsidR="00797195" w:rsidRDefault="00000000">
            <w:pPr>
              <w:spacing w:line="276" w:lineRule="auto"/>
            </w:pPr>
            <w:r>
              <w:rPr>
                <w:sz w:val="20"/>
                <w:szCs w:val="20"/>
              </w:rPr>
              <w:t>Conforme aux attentes : 06 points</w:t>
            </w:r>
          </w:p>
        </w:tc>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D2A705C" w14:textId="77777777" w:rsidR="00797195" w:rsidRDefault="00797195">
            <w:pPr>
              <w:spacing w:line="276" w:lineRule="auto"/>
            </w:pPr>
          </w:p>
        </w:tc>
      </w:tr>
      <w:tr w:rsidR="00797195" w14:paraId="52105474" w14:textId="77777777">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65F12D4" w14:textId="77777777" w:rsidR="00797195" w:rsidRDefault="00797195">
            <w:pPr>
              <w:spacing w:line="276" w:lineRule="auto"/>
            </w:pPr>
          </w:p>
        </w:tc>
        <w:tc>
          <w:tcPr>
            <w:tcW w:w="47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86230A5" w14:textId="77777777" w:rsidR="00797195" w:rsidRDefault="00000000">
            <w:pPr>
              <w:spacing w:line="276" w:lineRule="auto"/>
              <w:jc w:val="both"/>
            </w:pPr>
            <w:r>
              <w:rPr>
                <w:color w:val="CC0000"/>
                <w:sz w:val="20"/>
                <w:szCs w:val="20"/>
              </w:rPr>
              <w:t>Non conforme : Rejeté</w:t>
            </w:r>
          </w:p>
        </w:tc>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19F11DC8" w14:textId="77777777" w:rsidR="00797195" w:rsidRDefault="00797195">
            <w:pPr>
              <w:spacing w:line="276" w:lineRule="auto"/>
            </w:pPr>
          </w:p>
        </w:tc>
      </w:tr>
      <w:tr w:rsidR="00797195" w14:paraId="5CD005B2" w14:textId="77777777">
        <w:tc>
          <w:tcPr>
            <w:tcW w:w="2800" w:type="dxa"/>
            <w:tcBorders>
              <w:top w:val="single" w:sz="1" w:space="0" w:color="CCCCCC"/>
              <w:left w:val="single" w:sz="1" w:space="0" w:color="CCCCCC"/>
              <w:bottom w:val="single" w:sz="1" w:space="0" w:color="CCCCCC"/>
              <w:right w:val="single" w:sz="1" w:space="0" w:color="CCCCCC"/>
            </w:tcBorders>
            <w:shd w:val="clear" w:color="auto" w:fill="E8EBF7"/>
            <w:tcMar>
              <w:top w:w="60" w:type="dxa"/>
              <w:left w:w="100" w:type="dxa"/>
              <w:bottom w:w="60" w:type="dxa"/>
              <w:right w:w="100" w:type="dxa"/>
            </w:tcMar>
            <w:vAlign w:val="center"/>
          </w:tcPr>
          <w:p w14:paraId="5784B4F7" w14:textId="77777777" w:rsidR="00797195" w:rsidRDefault="00000000">
            <w:pPr>
              <w:spacing w:line="276" w:lineRule="auto"/>
              <w:jc w:val="both"/>
            </w:pPr>
            <w:r>
              <w:rPr>
                <w:b/>
                <w:bCs/>
                <w:sz w:val="20"/>
                <w:szCs w:val="20"/>
              </w:rPr>
              <w:t>2. Formation du Directeur de mission</w:t>
            </w:r>
          </w:p>
        </w:tc>
        <w:tc>
          <w:tcPr>
            <w:tcW w:w="4726" w:type="dxa"/>
            <w:tcBorders>
              <w:top w:val="single" w:sz="1" w:space="0" w:color="CCCCCC"/>
              <w:left w:val="single" w:sz="1" w:space="0" w:color="CCCCCC"/>
              <w:bottom w:val="single" w:sz="1" w:space="0" w:color="CCCCCC"/>
              <w:right w:val="single" w:sz="1" w:space="0" w:color="CCCCCC"/>
            </w:tcBorders>
            <w:shd w:val="clear" w:color="auto" w:fill="E8EBF7"/>
            <w:tcMar>
              <w:top w:w="60" w:type="dxa"/>
              <w:left w:w="100" w:type="dxa"/>
              <w:bottom w:w="60" w:type="dxa"/>
              <w:right w:w="100" w:type="dxa"/>
            </w:tcMar>
            <w:vAlign w:val="center"/>
          </w:tcPr>
          <w:p w14:paraId="191F44DE" w14:textId="77777777" w:rsidR="00797195" w:rsidRDefault="00000000">
            <w:pPr>
              <w:spacing w:line="276" w:lineRule="auto"/>
              <w:jc w:val="both"/>
            </w:pPr>
            <w:r>
              <w:rPr>
                <w:b/>
                <w:bCs/>
                <w:sz w:val="20"/>
                <w:szCs w:val="20"/>
              </w:rPr>
              <w:t>Notation du critère n°2 sur 02 points</w:t>
            </w:r>
          </w:p>
        </w:tc>
        <w:tc>
          <w:tcPr>
            <w:tcW w:w="1500" w:type="dxa"/>
            <w:tcBorders>
              <w:top w:val="single" w:sz="1" w:space="0" w:color="CCCCCC"/>
              <w:left w:val="single" w:sz="1" w:space="0" w:color="CCCCCC"/>
              <w:bottom w:val="single" w:sz="1" w:space="0" w:color="CCCCCC"/>
              <w:right w:val="single" w:sz="1" w:space="0" w:color="CCCCCC"/>
            </w:tcBorders>
            <w:shd w:val="clear" w:color="auto" w:fill="E8EBF7"/>
            <w:tcMar>
              <w:top w:w="60" w:type="dxa"/>
              <w:left w:w="100" w:type="dxa"/>
              <w:bottom w:w="60" w:type="dxa"/>
              <w:right w:w="100" w:type="dxa"/>
            </w:tcMar>
            <w:vAlign w:val="center"/>
          </w:tcPr>
          <w:p w14:paraId="5FA1CA05" w14:textId="77777777" w:rsidR="00797195" w:rsidRDefault="00797195">
            <w:pPr>
              <w:spacing w:line="276" w:lineRule="auto"/>
            </w:pPr>
          </w:p>
        </w:tc>
      </w:tr>
      <w:tr w:rsidR="00797195" w14:paraId="1592164D" w14:textId="77777777">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3775C60" w14:textId="77777777" w:rsidR="00797195" w:rsidRDefault="00797195">
            <w:pPr>
              <w:spacing w:line="276" w:lineRule="auto"/>
            </w:pPr>
          </w:p>
        </w:tc>
        <w:tc>
          <w:tcPr>
            <w:tcW w:w="47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51F9922" w14:textId="77777777" w:rsidR="00797195" w:rsidRDefault="00000000">
            <w:pPr>
              <w:spacing w:line="276" w:lineRule="auto"/>
            </w:pPr>
            <w:r>
              <w:rPr>
                <w:sz w:val="20"/>
                <w:szCs w:val="20"/>
              </w:rPr>
              <w:t>PhD : 02 points</w:t>
            </w:r>
          </w:p>
        </w:tc>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842610E" w14:textId="77777777" w:rsidR="00797195" w:rsidRDefault="00797195">
            <w:pPr>
              <w:spacing w:line="276" w:lineRule="auto"/>
            </w:pPr>
          </w:p>
        </w:tc>
      </w:tr>
      <w:tr w:rsidR="00797195" w14:paraId="5F3611FD" w14:textId="77777777">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06E5500" w14:textId="77777777" w:rsidR="00797195" w:rsidRDefault="00797195">
            <w:pPr>
              <w:spacing w:line="276" w:lineRule="auto"/>
            </w:pPr>
          </w:p>
        </w:tc>
        <w:tc>
          <w:tcPr>
            <w:tcW w:w="47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3BFB059" w14:textId="77777777" w:rsidR="00797195" w:rsidRDefault="00000000">
            <w:pPr>
              <w:spacing w:line="276" w:lineRule="auto"/>
            </w:pPr>
            <w:r>
              <w:rPr>
                <w:sz w:val="20"/>
                <w:szCs w:val="20"/>
              </w:rPr>
              <w:t>Bac+5 : 01 point</w:t>
            </w:r>
          </w:p>
        </w:tc>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BDD2DE2" w14:textId="77777777" w:rsidR="00797195" w:rsidRDefault="00797195">
            <w:pPr>
              <w:spacing w:line="276" w:lineRule="auto"/>
            </w:pPr>
          </w:p>
        </w:tc>
      </w:tr>
      <w:tr w:rsidR="00797195" w14:paraId="27B4E19F" w14:textId="77777777">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85CFD6A" w14:textId="77777777" w:rsidR="00797195" w:rsidRDefault="00797195">
            <w:pPr>
              <w:spacing w:line="276" w:lineRule="auto"/>
            </w:pPr>
          </w:p>
        </w:tc>
        <w:tc>
          <w:tcPr>
            <w:tcW w:w="47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2729190" w14:textId="77777777" w:rsidR="00797195" w:rsidRDefault="00000000">
            <w:pPr>
              <w:spacing w:line="276" w:lineRule="auto"/>
              <w:jc w:val="both"/>
            </w:pPr>
            <w:r>
              <w:rPr>
                <w:color w:val="CC0000"/>
                <w:sz w:val="20"/>
                <w:szCs w:val="20"/>
              </w:rPr>
              <w:t>Autres : Rejeté</w:t>
            </w:r>
          </w:p>
        </w:tc>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0473B25" w14:textId="77777777" w:rsidR="00797195" w:rsidRDefault="00797195">
            <w:pPr>
              <w:spacing w:line="276" w:lineRule="auto"/>
            </w:pPr>
          </w:p>
        </w:tc>
      </w:tr>
      <w:tr w:rsidR="00797195" w14:paraId="5534554F" w14:textId="77777777">
        <w:tc>
          <w:tcPr>
            <w:tcW w:w="2800" w:type="dxa"/>
            <w:tcBorders>
              <w:top w:val="single" w:sz="1" w:space="0" w:color="CCCCCC"/>
              <w:left w:val="single" w:sz="1" w:space="0" w:color="CCCCCC"/>
              <w:bottom w:val="single" w:sz="1" w:space="0" w:color="CCCCCC"/>
              <w:right w:val="single" w:sz="1" w:space="0" w:color="CCCCCC"/>
            </w:tcBorders>
            <w:shd w:val="clear" w:color="auto" w:fill="E8EBF7"/>
            <w:tcMar>
              <w:top w:w="60" w:type="dxa"/>
              <w:left w:w="100" w:type="dxa"/>
              <w:bottom w:w="60" w:type="dxa"/>
              <w:right w:w="100" w:type="dxa"/>
            </w:tcMar>
            <w:vAlign w:val="center"/>
          </w:tcPr>
          <w:p w14:paraId="614048CE" w14:textId="77777777" w:rsidR="00797195" w:rsidRDefault="00000000">
            <w:pPr>
              <w:spacing w:line="276" w:lineRule="auto"/>
              <w:jc w:val="both"/>
            </w:pPr>
            <w:r>
              <w:rPr>
                <w:b/>
                <w:bCs/>
                <w:sz w:val="20"/>
                <w:szCs w:val="20"/>
              </w:rPr>
              <w:lastRenderedPageBreak/>
              <w:t>3. Expérience du Directeur de mission</w:t>
            </w:r>
          </w:p>
        </w:tc>
        <w:tc>
          <w:tcPr>
            <w:tcW w:w="4726" w:type="dxa"/>
            <w:tcBorders>
              <w:top w:val="single" w:sz="1" w:space="0" w:color="CCCCCC"/>
              <w:left w:val="single" w:sz="1" w:space="0" w:color="CCCCCC"/>
              <w:bottom w:val="single" w:sz="1" w:space="0" w:color="CCCCCC"/>
              <w:right w:val="single" w:sz="1" w:space="0" w:color="CCCCCC"/>
            </w:tcBorders>
            <w:shd w:val="clear" w:color="auto" w:fill="E8EBF7"/>
            <w:tcMar>
              <w:top w:w="60" w:type="dxa"/>
              <w:left w:w="100" w:type="dxa"/>
              <w:bottom w:w="60" w:type="dxa"/>
              <w:right w:w="100" w:type="dxa"/>
            </w:tcMar>
            <w:vAlign w:val="center"/>
          </w:tcPr>
          <w:p w14:paraId="7A3601F1" w14:textId="77777777" w:rsidR="00797195" w:rsidRDefault="00000000">
            <w:pPr>
              <w:spacing w:line="276" w:lineRule="auto"/>
              <w:jc w:val="both"/>
            </w:pPr>
            <w:r>
              <w:rPr>
                <w:b/>
                <w:bCs/>
                <w:sz w:val="20"/>
                <w:szCs w:val="20"/>
              </w:rPr>
              <w:t>Notation du critère n°3 sur 04 points</w:t>
            </w:r>
          </w:p>
        </w:tc>
        <w:tc>
          <w:tcPr>
            <w:tcW w:w="1500" w:type="dxa"/>
            <w:tcBorders>
              <w:top w:val="single" w:sz="1" w:space="0" w:color="CCCCCC"/>
              <w:left w:val="single" w:sz="1" w:space="0" w:color="CCCCCC"/>
              <w:bottom w:val="single" w:sz="1" w:space="0" w:color="CCCCCC"/>
              <w:right w:val="single" w:sz="1" w:space="0" w:color="CCCCCC"/>
            </w:tcBorders>
            <w:shd w:val="clear" w:color="auto" w:fill="E8EBF7"/>
            <w:tcMar>
              <w:top w:w="60" w:type="dxa"/>
              <w:left w:w="100" w:type="dxa"/>
              <w:bottom w:w="60" w:type="dxa"/>
              <w:right w:w="100" w:type="dxa"/>
            </w:tcMar>
            <w:vAlign w:val="center"/>
          </w:tcPr>
          <w:p w14:paraId="04F5651A" w14:textId="77777777" w:rsidR="00797195" w:rsidRDefault="00797195">
            <w:pPr>
              <w:spacing w:line="276" w:lineRule="auto"/>
            </w:pPr>
          </w:p>
        </w:tc>
      </w:tr>
      <w:tr w:rsidR="00797195" w14:paraId="7CC27C74" w14:textId="77777777">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3B9A0BF" w14:textId="77777777" w:rsidR="00797195" w:rsidRDefault="00797195">
            <w:pPr>
              <w:spacing w:line="276" w:lineRule="auto"/>
            </w:pPr>
          </w:p>
        </w:tc>
        <w:tc>
          <w:tcPr>
            <w:tcW w:w="47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1358B28E" w14:textId="77777777" w:rsidR="00797195" w:rsidRDefault="00000000">
            <w:pPr>
              <w:spacing w:line="276" w:lineRule="auto"/>
            </w:pPr>
            <w:r>
              <w:rPr>
                <w:sz w:val="20"/>
                <w:szCs w:val="20"/>
              </w:rPr>
              <w:t>Plus de cinq ans d’expérience : 04 points</w:t>
            </w:r>
          </w:p>
        </w:tc>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CC6AC08" w14:textId="77777777" w:rsidR="00797195" w:rsidRDefault="00797195">
            <w:pPr>
              <w:spacing w:line="276" w:lineRule="auto"/>
            </w:pPr>
          </w:p>
        </w:tc>
      </w:tr>
      <w:tr w:rsidR="00797195" w14:paraId="3D0DA6E6" w14:textId="77777777">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C2D6E45" w14:textId="77777777" w:rsidR="00797195" w:rsidRDefault="00797195">
            <w:pPr>
              <w:spacing w:line="276" w:lineRule="auto"/>
            </w:pPr>
          </w:p>
        </w:tc>
        <w:tc>
          <w:tcPr>
            <w:tcW w:w="47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5EC17EC" w14:textId="77777777" w:rsidR="00797195" w:rsidRDefault="00000000">
            <w:pPr>
              <w:spacing w:line="276" w:lineRule="auto"/>
            </w:pPr>
            <w:r>
              <w:rPr>
                <w:sz w:val="20"/>
                <w:szCs w:val="20"/>
              </w:rPr>
              <w:t>Cinq ans d’expérience : 02 points</w:t>
            </w:r>
          </w:p>
        </w:tc>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D5E7DD1" w14:textId="77777777" w:rsidR="00797195" w:rsidRDefault="00797195">
            <w:pPr>
              <w:spacing w:line="276" w:lineRule="auto"/>
            </w:pPr>
          </w:p>
        </w:tc>
      </w:tr>
      <w:tr w:rsidR="00797195" w14:paraId="0DD13604" w14:textId="77777777">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FC89594" w14:textId="77777777" w:rsidR="00797195" w:rsidRDefault="00797195">
            <w:pPr>
              <w:spacing w:line="276" w:lineRule="auto"/>
            </w:pPr>
          </w:p>
        </w:tc>
        <w:tc>
          <w:tcPr>
            <w:tcW w:w="47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D1F284E" w14:textId="77777777" w:rsidR="00797195" w:rsidRDefault="00000000">
            <w:pPr>
              <w:spacing w:line="276" w:lineRule="auto"/>
              <w:jc w:val="both"/>
            </w:pPr>
            <w:r>
              <w:rPr>
                <w:color w:val="CC0000"/>
                <w:sz w:val="20"/>
                <w:szCs w:val="20"/>
              </w:rPr>
              <w:t>Moins de cinq ans d’expérience : Rejeté</w:t>
            </w:r>
          </w:p>
        </w:tc>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F5A1480" w14:textId="77777777" w:rsidR="00797195" w:rsidRDefault="00797195">
            <w:pPr>
              <w:spacing w:line="276" w:lineRule="auto"/>
            </w:pPr>
          </w:p>
        </w:tc>
      </w:tr>
      <w:tr w:rsidR="00797195" w14:paraId="450FEEEA" w14:textId="77777777">
        <w:tc>
          <w:tcPr>
            <w:tcW w:w="2800" w:type="dxa"/>
            <w:tcBorders>
              <w:top w:val="single" w:sz="1" w:space="0" w:color="CCCCCC"/>
              <w:left w:val="single" w:sz="1" w:space="0" w:color="CCCCCC"/>
              <w:bottom w:val="single" w:sz="1" w:space="0" w:color="CCCCCC"/>
              <w:right w:val="single" w:sz="1" w:space="0" w:color="CCCCCC"/>
            </w:tcBorders>
            <w:shd w:val="clear" w:color="auto" w:fill="E8EBF7"/>
            <w:tcMar>
              <w:top w:w="60" w:type="dxa"/>
              <w:left w:w="100" w:type="dxa"/>
              <w:bottom w:w="60" w:type="dxa"/>
              <w:right w:w="100" w:type="dxa"/>
            </w:tcMar>
            <w:vAlign w:val="center"/>
          </w:tcPr>
          <w:p w14:paraId="2E11DDD1" w14:textId="77777777" w:rsidR="00797195" w:rsidRDefault="00000000">
            <w:pPr>
              <w:spacing w:line="276" w:lineRule="auto"/>
              <w:jc w:val="both"/>
            </w:pPr>
            <w:r>
              <w:rPr>
                <w:b/>
                <w:bCs/>
                <w:sz w:val="20"/>
                <w:szCs w:val="20"/>
              </w:rPr>
              <w:t>4. Durée de la mission</w:t>
            </w:r>
          </w:p>
        </w:tc>
        <w:tc>
          <w:tcPr>
            <w:tcW w:w="4726" w:type="dxa"/>
            <w:tcBorders>
              <w:top w:val="single" w:sz="1" w:space="0" w:color="CCCCCC"/>
              <w:left w:val="single" w:sz="1" w:space="0" w:color="CCCCCC"/>
              <w:bottom w:val="single" w:sz="1" w:space="0" w:color="CCCCCC"/>
              <w:right w:val="single" w:sz="1" w:space="0" w:color="CCCCCC"/>
            </w:tcBorders>
            <w:shd w:val="clear" w:color="auto" w:fill="E8EBF7"/>
            <w:tcMar>
              <w:top w:w="60" w:type="dxa"/>
              <w:left w:w="100" w:type="dxa"/>
              <w:bottom w:w="60" w:type="dxa"/>
              <w:right w:w="100" w:type="dxa"/>
            </w:tcMar>
            <w:vAlign w:val="center"/>
          </w:tcPr>
          <w:p w14:paraId="7E7774C3" w14:textId="77777777" w:rsidR="00797195" w:rsidRDefault="00000000">
            <w:pPr>
              <w:spacing w:line="276" w:lineRule="auto"/>
              <w:jc w:val="both"/>
            </w:pPr>
            <w:r>
              <w:rPr>
                <w:b/>
                <w:bCs/>
                <w:sz w:val="20"/>
                <w:szCs w:val="20"/>
              </w:rPr>
              <w:t>Notation du critère n°4 sur 02 points</w:t>
            </w:r>
          </w:p>
        </w:tc>
        <w:tc>
          <w:tcPr>
            <w:tcW w:w="1500" w:type="dxa"/>
            <w:tcBorders>
              <w:top w:val="single" w:sz="1" w:space="0" w:color="CCCCCC"/>
              <w:left w:val="single" w:sz="1" w:space="0" w:color="CCCCCC"/>
              <w:bottom w:val="single" w:sz="1" w:space="0" w:color="CCCCCC"/>
              <w:right w:val="single" w:sz="1" w:space="0" w:color="CCCCCC"/>
            </w:tcBorders>
            <w:shd w:val="clear" w:color="auto" w:fill="E8EBF7"/>
            <w:tcMar>
              <w:top w:w="60" w:type="dxa"/>
              <w:left w:w="100" w:type="dxa"/>
              <w:bottom w:w="60" w:type="dxa"/>
              <w:right w:w="100" w:type="dxa"/>
            </w:tcMar>
            <w:vAlign w:val="center"/>
          </w:tcPr>
          <w:p w14:paraId="47C754E0" w14:textId="77777777" w:rsidR="00797195" w:rsidRDefault="00797195">
            <w:pPr>
              <w:spacing w:line="276" w:lineRule="auto"/>
            </w:pPr>
          </w:p>
        </w:tc>
      </w:tr>
      <w:tr w:rsidR="00797195" w14:paraId="7B725E1F" w14:textId="77777777">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F4D632C" w14:textId="77777777" w:rsidR="00797195" w:rsidRDefault="00797195">
            <w:pPr>
              <w:spacing w:line="276" w:lineRule="auto"/>
            </w:pPr>
          </w:p>
        </w:tc>
        <w:tc>
          <w:tcPr>
            <w:tcW w:w="47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6E2527F" w14:textId="24C5A404" w:rsidR="00797195" w:rsidRDefault="00000000">
            <w:pPr>
              <w:spacing w:line="276" w:lineRule="auto"/>
            </w:pPr>
            <w:r>
              <w:rPr>
                <w:sz w:val="20"/>
                <w:szCs w:val="20"/>
              </w:rPr>
              <w:t>≤ 2</w:t>
            </w:r>
            <w:r w:rsidR="00A140C6">
              <w:rPr>
                <w:sz w:val="20"/>
                <w:szCs w:val="20"/>
              </w:rPr>
              <w:t>4</w:t>
            </w:r>
            <w:r>
              <w:rPr>
                <w:sz w:val="20"/>
                <w:szCs w:val="20"/>
              </w:rPr>
              <w:t xml:space="preserve"> semaines : 02 points</w:t>
            </w:r>
          </w:p>
        </w:tc>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53839EDD" w14:textId="77777777" w:rsidR="00797195" w:rsidRDefault="00797195">
            <w:pPr>
              <w:spacing w:line="276" w:lineRule="auto"/>
            </w:pPr>
          </w:p>
        </w:tc>
      </w:tr>
      <w:tr w:rsidR="00797195" w14:paraId="1D21BA7A" w14:textId="77777777">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6D91C34B" w14:textId="77777777" w:rsidR="00797195" w:rsidRDefault="00797195">
            <w:pPr>
              <w:spacing w:line="276" w:lineRule="auto"/>
            </w:pPr>
          </w:p>
        </w:tc>
        <w:tc>
          <w:tcPr>
            <w:tcW w:w="47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0BFE1427" w14:textId="6F8864AF" w:rsidR="00797195" w:rsidRDefault="00000000">
            <w:pPr>
              <w:spacing w:line="276" w:lineRule="auto"/>
              <w:jc w:val="both"/>
            </w:pPr>
            <w:r>
              <w:rPr>
                <w:color w:val="CC0000"/>
                <w:sz w:val="20"/>
                <w:szCs w:val="20"/>
              </w:rPr>
              <w:t xml:space="preserve">&gt; </w:t>
            </w:r>
            <w:r w:rsidR="00A140C6">
              <w:rPr>
                <w:color w:val="CC0000"/>
                <w:sz w:val="20"/>
                <w:szCs w:val="20"/>
              </w:rPr>
              <w:t>24</w:t>
            </w:r>
            <w:r>
              <w:rPr>
                <w:color w:val="CC0000"/>
                <w:sz w:val="20"/>
                <w:szCs w:val="20"/>
              </w:rPr>
              <w:t xml:space="preserve"> semaines : Rejeté</w:t>
            </w:r>
          </w:p>
        </w:tc>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2D57D20B" w14:textId="77777777" w:rsidR="00797195" w:rsidRDefault="00797195">
            <w:pPr>
              <w:spacing w:line="276" w:lineRule="auto"/>
            </w:pPr>
          </w:p>
        </w:tc>
      </w:tr>
      <w:tr w:rsidR="00797195" w14:paraId="6812B9C3" w14:textId="77777777">
        <w:tc>
          <w:tcPr>
            <w:tcW w:w="2800" w:type="dxa"/>
            <w:tcBorders>
              <w:top w:val="single" w:sz="1" w:space="0" w:color="CCCCCC"/>
              <w:left w:val="single" w:sz="1" w:space="0" w:color="CCCCCC"/>
              <w:bottom w:val="single" w:sz="1" w:space="0" w:color="CCCCCC"/>
              <w:right w:val="single" w:sz="1" w:space="0" w:color="CCCCCC"/>
            </w:tcBorders>
            <w:shd w:val="clear" w:color="auto" w:fill="E8EBF7"/>
            <w:tcMar>
              <w:top w:w="60" w:type="dxa"/>
              <w:left w:w="100" w:type="dxa"/>
              <w:bottom w:w="60" w:type="dxa"/>
              <w:right w:w="100" w:type="dxa"/>
            </w:tcMar>
            <w:vAlign w:val="center"/>
          </w:tcPr>
          <w:p w14:paraId="31FBA2ED" w14:textId="77777777" w:rsidR="00797195" w:rsidRDefault="00000000">
            <w:pPr>
              <w:spacing w:line="276" w:lineRule="auto"/>
              <w:jc w:val="both"/>
            </w:pPr>
            <w:r>
              <w:rPr>
                <w:b/>
                <w:bCs/>
                <w:sz w:val="20"/>
                <w:szCs w:val="20"/>
              </w:rPr>
              <w:t>5. Attestations de référence</w:t>
            </w:r>
          </w:p>
        </w:tc>
        <w:tc>
          <w:tcPr>
            <w:tcW w:w="4726" w:type="dxa"/>
            <w:tcBorders>
              <w:top w:val="single" w:sz="1" w:space="0" w:color="CCCCCC"/>
              <w:left w:val="single" w:sz="1" w:space="0" w:color="CCCCCC"/>
              <w:bottom w:val="single" w:sz="1" w:space="0" w:color="CCCCCC"/>
              <w:right w:val="single" w:sz="1" w:space="0" w:color="CCCCCC"/>
            </w:tcBorders>
            <w:shd w:val="clear" w:color="auto" w:fill="E8EBF7"/>
            <w:tcMar>
              <w:top w:w="60" w:type="dxa"/>
              <w:left w:w="100" w:type="dxa"/>
              <w:bottom w:w="60" w:type="dxa"/>
              <w:right w:w="100" w:type="dxa"/>
            </w:tcMar>
            <w:vAlign w:val="center"/>
          </w:tcPr>
          <w:p w14:paraId="1DA63850" w14:textId="77777777" w:rsidR="00797195" w:rsidRDefault="00000000">
            <w:pPr>
              <w:spacing w:line="276" w:lineRule="auto"/>
              <w:jc w:val="both"/>
            </w:pPr>
            <w:r>
              <w:rPr>
                <w:b/>
                <w:bCs/>
                <w:sz w:val="20"/>
                <w:szCs w:val="20"/>
              </w:rPr>
              <w:t>Notation du critère n°5 sur 04 points</w:t>
            </w:r>
          </w:p>
        </w:tc>
        <w:tc>
          <w:tcPr>
            <w:tcW w:w="1500" w:type="dxa"/>
            <w:tcBorders>
              <w:top w:val="single" w:sz="1" w:space="0" w:color="CCCCCC"/>
              <w:left w:val="single" w:sz="1" w:space="0" w:color="CCCCCC"/>
              <w:bottom w:val="single" w:sz="1" w:space="0" w:color="CCCCCC"/>
              <w:right w:val="single" w:sz="1" w:space="0" w:color="CCCCCC"/>
            </w:tcBorders>
            <w:shd w:val="clear" w:color="auto" w:fill="E8EBF7"/>
            <w:tcMar>
              <w:top w:w="60" w:type="dxa"/>
              <w:left w:w="100" w:type="dxa"/>
              <w:bottom w:w="60" w:type="dxa"/>
              <w:right w:w="100" w:type="dxa"/>
            </w:tcMar>
            <w:vAlign w:val="center"/>
          </w:tcPr>
          <w:p w14:paraId="0CCB2337" w14:textId="77777777" w:rsidR="00797195" w:rsidRDefault="00797195">
            <w:pPr>
              <w:spacing w:line="276" w:lineRule="auto"/>
            </w:pPr>
          </w:p>
        </w:tc>
      </w:tr>
      <w:tr w:rsidR="00797195" w14:paraId="55993F74" w14:textId="77777777">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316D644D" w14:textId="77777777" w:rsidR="00797195" w:rsidRDefault="00797195">
            <w:pPr>
              <w:spacing w:line="276" w:lineRule="auto"/>
            </w:pPr>
          </w:p>
        </w:tc>
        <w:tc>
          <w:tcPr>
            <w:tcW w:w="47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CADBE7B" w14:textId="77777777" w:rsidR="00797195" w:rsidRDefault="00000000">
            <w:pPr>
              <w:spacing w:line="276" w:lineRule="auto"/>
            </w:pPr>
            <w:r>
              <w:rPr>
                <w:sz w:val="20"/>
                <w:szCs w:val="20"/>
              </w:rPr>
              <w:t>1 point par attestation (max. 4)</w:t>
            </w:r>
          </w:p>
        </w:tc>
        <w:tc>
          <w:tcPr>
            <w:tcW w:w="1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vAlign w:val="center"/>
          </w:tcPr>
          <w:p w14:paraId="40714CBA" w14:textId="77777777" w:rsidR="00797195" w:rsidRDefault="00797195">
            <w:pPr>
              <w:spacing w:line="276" w:lineRule="auto"/>
            </w:pPr>
          </w:p>
        </w:tc>
      </w:tr>
      <w:tr w:rsidR="00797195" w14:paraId="5769C94E" w14:textId="77777777">
        <w:tc>
          <w:tcPr>
            <w:tcW w:w="2800" w:type="dxa"/>
            <w:tcBorders>
              <w:top w:val="single" w:sz="1" w:space="0" w:color="CCCCCC"/>
              <w:left w:val="single" w:sz="1" w:space="0" w:color="CCCCCC"/>
              <w:bottom w:val="single" w:sz="1" w:space="0" w:color="CCCCCC"/>
              <w:right w:val="single" w:sz="1" w:space="0" w:color="CCCCCC"/>
            </w:tcBorders>
            <w:shd w:val="clear" w:color="auto" w:fill="212E98"/>
            <w:tcMar>
              <w:top w:w="60" w:type="dxa"/>
              <w:left w:w="100" w:type="dxa"/>
              <w:bottom w:w="60" w:type="dxa"/>
              <w:right w:w="100" w:type="dxa"/>
            </w:tcMar>
            <w:vAlign w:val="center"/>
          </w:tcPr>
          <w:p w14:paraId="732434B5" w14:textId="77777777" w:rsidR="00797195" w:rsidRDefault="00000000">
            <w:pPr>
              <w:spacing w:line="276" w:lineRule="auto"/>
              <w:jc w:val="right"/>
            </w:pPr>
            <w:r>
              <w:rPr>
                <w:b/>
                <w:bCs/>
                <w:sz w:val="20"/>
                <w:szCs w:val="20"/>
              </w:rPr>
              <w:t>TOTAL</w:t>
            </w:r>
          </w:p>
        </w:tc>
        <w:tc>
          <w:tcPr>
            <w:tcW w:w="4726" w:type="dxa"/>
            <w:tcBorders>
              <w:top w:val="single" w:sz="1" w:space="0" w:color="CCCCCC"/>
              <w:left w:val="single" w:sz="1" w:space="0" w:color="CCCCCC"/>
              <w:bottom w:val="single" w:sz="1" w:space="0" w:color="CCCCCC"/>
              <w:right w:val="single" w:sz="1" w:space="0" w:color="CCCCCC"/>
            </w:tcBorders>
            <w:shd w:val="clear" w:color="auto" w:fill="212E98"/>
            <w:tcMar>
              <w:top w:w="60" w:type="dxa"/>
              <w:left w:w="100" w:type="dxa"/>
              <w:bottom w:w="60" w:type="dxa"/>
              <w:right w:w="100" w:type="dxa"/>
            </w:tcMar>
            <w:vAlign w:val="center"/>
          </w:tcPr>
          <w:p w14:paraId="4F06EF5A" w14:textId="77777777" w:rsidR="00797195" w:rsidRDefault="00000000">
            <w:pPr>
              <w:spacing w:line="276" w:lineRule="auto"/>
              <w:jc w:val="center"/>
            </w:pPr>
            <w:r>
              <w:rPr>
                <w:b/>
                <w:bCs/>
                <w:color w:val="FFFFFF"/>
                <w:sz w:val="20"/>
                <w:szCs w:val="20"/>
              </w:rPr>
              <w:t>/20</w:t>
            </w:r>
          </w:p>
        </w:tc>
        <w:tc>
          <w:tcPr>
            <w:tcW w:w="1500" w:type="dxa"/>
            <w:tcBorders>
              <w:top w:val="single" w:sz="1" w:space="0" w:color="CCCCCC"/>
              <w:left w:val="single" w:sz="1" w:space="0" w:color="CCCCCC"/>
              <w:bottom w:val="single" w:sz="1" w:space="0" w:color="CCCCCC"/>
              <w:right w:val="single" w:sz="1" w:space="0" w:color="CCCCCC"/>
            </w:tcBorders>
            <w:shd w:val="clear" w:color="auto" w:fill="212E98"/>
            <w:tcMar>
              <w:top w:w="60" w:type="dxa"/>
              <w:left w:w="100" w:type="dxa"/>
              <w:bottom w:w="60" w:type="dxa"/>
              <w:right w:w="100" w:type="dxa"/>
            </w:tcMar>
            <w:vAlign w:val="center"/>
          </w:tcPr>
          <w:p w14:paraId="5819233D" w14:textId="77777777" w:rsidR="00797195" w:rsidRDefault="00797195">
            <w:pPr>
              <w:spacing w:line="276" w:lineRule="auto"/>
            </w:pPr>
          </w:p>
        </w:tc>
      </w:tr>
    </w:tbl>
    <w:p w14:paraId="105C8FA1" w14:textId="77777777" w:rsidR="00797195" w:rsidRDefault="00797195">
      <w:pPr>
        <w:spacing w:after="120"/>
      </w:pPr>
    </w:p>
    <w:p w14:paraId="49FEC23E" w14:textId="77777777" w:rsidR="00797195" w:rsidRDefault="00000000">
      <w:pPr>
        <w:spacing w:after="120" w:line="276" w:lineRule="auto"/>
        <w:jc w:val="both"/>
      </w:pPr>
      <w:r>
        <w:rPr>
          <w:b/>
          <w:bCs/>
          <w:color w:val="212E98"/>
        </w:rPr>
        <w:t>Seuls les concurrents avec une note égale ou supérieure à 12/20 seront éligibles pour l’évaluation des offres financières.</w:t>
      </w:r>
    </w:p>
    <w:p w14:paraId="4D6EAB8D" w14:textId="77777777" w:rsidR="00797195" w:rsidRDefault="00000000">
      <w:pPr>
        <w:spacing w:before="200" w:after="120" w:line="276" w:lineRule="auto"/>
        <w:jc w:val="both"/>
      </w:pPr>
      <w:r>
        <w:rPr>
          <w:b/>
          <w:bCs/>
        </w:rPr>
        <w:t>Prestataire retenu</w:t>
      </w:r>
    </w:p>
    <w:p w14:paraId="29B810B3" w14:textId="77777777" w:rsidR="00797195" w:rsidRDefault="00000000">
      <w:pPr>
        <w:spacing w:after="120" w:line="276" w:lineRule="auto"/>
        <w:jc w:val="both"/>
      </w:pPr>
      <w:r>
        <w:t>Après l’analyse des offres reçues, le concurrent ayant soumis l’offre la mieux-disante sera sélectionné.</w:t>
      </w:r>
    </w:p>
    <w:p w14:paraId="156559A7" w14:textId="77777777" w:rsidR="00797195" w:rsidRDefault="00000000">
      <w:pPr>
        <w:spacing w:after="120" w:line="276" w:lineRule="auto"/>
        <w:jc w:val="both"/>
      </w:pPr>
      <w:r>
        <w:t>L’offre la mieux-disante correspond au prestataire à la note globale (</w:t>
      </w:r>
      <w:proofErr w:type="spellStart"/>
      <w:r>
        <w:t>Ng</w:t>
      </w:r>
      <w:proofErr w:type="spellEnd"/>
      <w:r>
        <w:t>) la plus élevée déterminée comme suit :</w:t>
      </w:r>
    </w:p>
    <w:p w14:paraId="6C2D1F1A" w14:textId="77777777" w:rsidR="00797195" w:rsidRDefault="00000000">
      <w:pPr>
        <w:spacing w:before="120" w:after="120" w:line="276" w:lineRule="auto"/>
        <w:jc w:val="center"/>
      </w:pPr>
      <w:proofErr w:type="spellStart"/>
      <w:r>
        <w:rPr>
          <w:b/>
          <w:bCs/>
          <w:color w:val="212E98"/>
          <w:sz w:val="24"/>
          <w:szCs w:val="24"/>
        </w:rPr>
        <w:t>Ng</w:t>
      </w:r>
      <w:proofErr w:type="spellEnd"/>
      <w:r>
        <w:rPr>
          <w:b/>
          <w:bCs/>
          <w:color w:val="212E98"/>
          <w:sz w:val="24"/>
          <w:szCs w:val="24"/>
        </w:rPr>
        <w:t xml:space="preserve"> = Nt × 0,6 + </w:t>
      </w:r>
      <w:proofErr w:type="spellStart"/>
      <w:r>
        <w:rPr>
          <w:b/>
          <w:bCs/>
          <w:color w:val="212E98"/>
          <w:sz w:val="24"/>
          <w:szCs w:val="24"/>
        </w:rPr>
        <w:t>Nf</w:t>
      </w:r>
      <w:proofErr w:type="spellEnd"/>
      <w:r>
        <w:rPr>
          <w:b/>
          <w:bCs/>
          <w:color w:val="212E98"/>
          <w:sz w:val="24"/>
          <w:szCs w:val="24"/>
        </w:rPr>
        <w:t xml:space="preserve"> × 0,4</w:t>
      </w:r>
    </w:p>
    <w:p w14:paraId="1A0F1492" w14:textId="77777777" w:rsidR="00797195" w:rsidRDefault="00000000">
      <w:pPr>
        <w:spacing w:after="120" w:line="276" w:lineRule="auto"/>
        <w:jc w:val="both"/>
      </w:pPr>
      <w:r>
        <w:t xml:space="preserve">Avec : Nt = note technique ; </w:t>
      </w:r>
      <w:proofErr w:type="spellStart"/>
      <w:r>
        <w:t>Nf</w:t>
      </w:r>
      <w:proofErr w:type="spellEnd"/>
      <w:r>
        <w:t xml:space="preserve"> = note financière.</w:t>
      </w:r>
    </w:p>
    <w:p w14:paraId="4F94DCB6" w14:textId="77777777" w:rsidR="00797195" w:rsidRDefault="00000000">
      <w:pPr>
        <w:spacing w:after="120" w:line="276" w:lineRule="auto"/>
        <w:jc w:val="both"/>
      </w:pPr>
      <w:r>
        <w:t xml:space="preserve">La </w:t>
      </w:r>
      <w:proofErr w:type="spellStart"/>
      <w:r>
        <w:t>Nf</w:t>
      </w:r>
      <w:proofErr w:type="spellEnd"/>
      <w:r>
        <w:t xml:space="preserve"> est calculée comme suit :</w:t>
      </w:r>
    </w:p>
    <w:p w14:paraId="1CE40A63" w14:textId="77777777" w:rsidR="00797195" w:rsidRDefault="00000000">
      <w:pPr>
        <w:spacing w:before="120" w:after="120" w:line="276" w:lineRule="auto"/>
        <w:jc w:val="center"/>
      </w:pPr>
      <w:proofErr w:type="spellStart"/>
      <w:r>
        <w:rPr>
          <w:b/>
          <w:bCs/>
          <w:color w:val="212E98"/>
          <w:sz w:val="24"/>
          <w:szCs w:val="24"/>
        </w:rPr>
        <w:t>Nf</w:t>
      </w:r>
      <w:proofErr w:type="spellEnd"/>
      <w:r>
        <w:rPr>
          <w:b/>
          <w:bCs/>
          <w:color w:val="212E98"/>
          <w:sz w:val="24"/>
          <w:szCs w:val="24"/>
        </w:rPr>
        <w:t xml:space="preserve"> = 20 × </w:t>
      </w:r>
      <w:proofErr w:type="spellStart"/>
      <w:r>
        <w:rPr>
          <w:b/>
          <w:bCs/>
          <w:color w:val="212E98"/>
          <w:sz w:val="24"/>
          <w:szCs w:val="24"/>
        </w:rPr>
        <w:t>fo</w:t>
      </w:r>
      <w:proofErr w:type="spellEnd"/>
      <w:r>
        <w:rPr>
          <w:b/>
          <w:bCs/>
          <w:color w:val="212E98"/>
          <w:sz w:val="24"/>
          <w:szCs w:val="24"/>
        </w:rPr>
        <w:t xml:space="preserve"> / f</w:t>
      </w:r>
    </w:p>
    <w:p w14:paraId="736F2A64" w14:textId="77777777" w:rsidR="00797195" w:rsidRDefault="00000000">
      <w:pPr>
        <w:spacing w:after="120" w:line="276" w:lineRule="auto"/>
        <w:jc w:val="both"/>
      </w:pPr>
      <w:r>
        <w:t xml:space="preserve">Où </w:t>
      </w:r>
      <w:proofErr w:type="spellStart"/>
      <w:r>
        <w:t>fo</w:t>
      </w:r>
      <w:proofErr w:type="spellEnd"/>
      <w:r>
        <w:t xml:space="preserve"> = montant de l’offre moins-</w:t>
      </w:r>
      <w:proofErr w:type="spellStart"/>
      <w:r>
        <w:t>disante</w:t>
      </w:r>
      <w:proofErr w:type="spellEnd"/>
      <w:r>
        <w:t xml:space="preserve"> (sauf offre anormalement basse) ; f = montant de l’offre du concurrent.</w:t>
      </w:r>
    </w:p>
    <w:p w14:paraId="0ABA2189" w14:textId="77777777" w:rsidR="00797195" w:rsidRDefault="00000000">
      <w:pPr>
        <w:pStyle w:val="Titre1"/>
        <w:pageBreakBefore/>
        <w:spacing w:before="0" w:after="120" w:line="276" w:lineRule="auto"/>
        <w:jc w:val="both"/>
      </w:pPr>
      <w:r>
        <w:rPr>
          <w:sz w:val="22"/>
          <w:szCs w:val="22"/>
        </w:rPr>
        <w:lastRenderedPageBreak/>
        <w:t>Annexe 1 : Déclaration sur l’honneur</w:t>
      </w:r>
    </w:p>
    <w:p w14:paraId="21A54B21" w14:textId="77777777" w:rsidR="00797195" w:rsidRDefault="00000000">
      <w:pPr>
        <w:spacing w:after="120" w:line="276" w:lineRule="auto"/>
        <w:jc w:val="both"/>
      </w:pPr>
      <w:r>
        <w:rPr>
          <w:b/>
          <w:bCs/>
        </w:rPr>
        <w:t xml:space="preserve">Objet de la consultation : </w:t>
      </w:r>
      <w:r>
        <w:t>Réalisation d’une étude de mesure d’impact et de mise en place d’un dispositif de suivi-évaluation</w:t>
      </w:r>
    </w:p>
    <w:p w14:paraId="5D3FF9F8" w14:textId="77777777" w:rsidR="00797195" w:rsidRDefault="00000000">
      <w:pPr>
        <w:spacing w:after="120" w:line="276" w:lineRule="auto"/>
        <w:jc w:val="both"/>
      </w:pPr>
      <w:r>
        <w:rPr>
          <w:b/>
          <w:bCs/>
        </w:rPr>
        <w:t xml:space="preserve">Mode de passation : </w:t>
      </w:r>
      <w:r>
        <w:t>Consultation n° …</w:t>
      </w:r>
    </w:p>
    <w:p w14:paraId="7A6575C8" w14:textId="77777777" w:rsidR="00797195" w:rsidRDefault="00797195">
      <w:pPr>
        <w:spacing w:after="120"/>
      </w:pPr>
    </w:p>
    <w:p w14:paraId="21647FEE" w14:textId="77777777" w:rsidR="00797195" w:rsidRDefault="00000000">
      <w:pPr>
        <w:spacing w:before="200" w:after="120" w:line="276" w:lineRule="auto"/>
        <w:jc w:val="both"/>
      </w:pPr>
      <w:r>
        <w:rPr>
          <w:b/>
          <w:bCs/>
        </w:rPr>
        <w:t>A. Pour les personnes physiques</w:t>
      </w:r>
    </w:p>
    <w:p w14:paraId="278C941F" w14:textId="77777777" w:rsidR="00797195" w:rsidRDefault="00000000">
      <w:pPr>
        <w:spacing w:after="120" w:line="276" w:lineRule="auto"/>
        <w:jc w:val="both"/>
      </w:pPr>
      <w:r>
        <w:t>Je, soussigné : ...................................... (</w:t>
      </w:r>
      <w:proofErr w:type="gramStart"/>
      <w:r>
        <w:t>prénom</w:t>
      </w:r>
      <w:proofErr w:type="gramEnd"/>
      <w:r>
        <w:t>, nom et qualité)</w:t>
      </w:r>
    </w:p>
    <w:p w14:paraId="571B27C0" w14:textId="77777777" w:rsidR="00797195" w:rsidRDefault="00000000">
      <w:pPr>
        <w:spacing w:after="120" w:line="276" w:lineRule="auto"/>
        <w:jc w:val="both"/>
      </w:pPr>
      <w:proofErr w:type="gramStart"/>
      <w:r>
        <w:t>agissant</w:t>
      </w:r>
      <w:proofErr w:type="gramEnd"/>
      <w:r>
        <w:t xml:space="preserve"> en mon nom personnel et pour mon propre compte,</w:t>
      </w:r>
    </w:p>
    <w:p w14:paraId="47D0DD52" w14:textId="77777777" w:rsidR="00797195" w:rsidRDefault="00000000">
      <w:pPr>
        <w:spacing w:after="120" w:line="276" w:lineRule="auto"/>
        <w:jc w:val="both"/>
      </w:pPr>
      <w:proofErr w:type="gramStart"/>
      <w:r>
        <w:t>adresse</w:t>
      </w:r>
      <w:proofErr w:type="gramEnd"/>
      <w:r>
        <w:t xml:space="preserve"> du domicile élu : ......................................</w:t>
      </w:r>
    </w:p>
    <w:p w14:paraId="32C77432" w14:textId="77777777" w:rsidR="00797195" w:rsidRDefault="00000000">
      <w:pPr>
        <w:spacing w:after="120" w:line="276" w:lineRule="auto"/>
        <w:jc w:val="both"/>
      </w:pPr>
      <w:proofErr w:type="gramStart"/>
      <w:r>
        <w:t>affilié</w:t>
      </w:r>
      <w:proofErr w:type="gramEnd"/>
      <w:r>
        <w:t xml:space="preserve"> à la CNSS sous le n° : ......................................</w:t>
      </w:r>
    </w:p>
    <w:p w14:paraId="28C1811A" w14:textId="77777777" w:rsidR="00797195" w:rsidRDefault="00000000">
      <w:pPr>
        <w:spacing w:after="120" w:line="276" w:lineRule="auto"/>
        <w:jc w:val="both"/>
      </w:pPr>
      <w:proofErr w:type="gramStart"/>
      <w:r>
        <w:t>inscrit</w:t>
      </w:r>
      <w:proofErr w:type="gramEnd"/>
      <w:r>
        <w:t xml:space="preserve"> au registre du commerce de ....................... (</w:t>
      </w:r>
      <w:proofErr w:type="gramStart"/>
      <w:r>
        <w:t>localité</w:t>
      </w:r>
      <w:proofErr w:type="gramEnd"/>
      <w:r>
        <w:t>) sous le n° ......... n° de patente .........</w:t>
      </w:r>
    </w:p>
    <w:p w14:paraId="22827B3E" w14:textId="77777777" w:rsidR="00797195" w:rsidRDefault="00000000">
      <w:pPr>
        <w:spacing w:after="120" w:line="276" w:lineRule="auto"/>
        <w:jc w:val="both"/>
      </w:pPr>
      <w:proofErr w:type="gramStart"/>
      <w:r>
        <w:t>n</w:t>
      </w:r>
      <w:proofErr w:type="gramEnd"/>
      <w:r>
        <w:t>° du compte courant postal, bancaire ou à la TGR (RIB) : ......................................</w:t>
      </w:r>
    </w:p>
    <w:p w14:paraId="02BEC73A" w14:textId="77777777" w:rsidR="00797195" w:rsidRDefault="00797195">
      <w:pPr>
        <w:spacing w:after="60"/>
      </w:pPr>
    </w:p>
    <w:p w14:paraId="6BEDBD68" w14:textId="77777777" w:rsidR="00797195" w:rsidRDefault="00000000">
      <w:pPr>
        <w:spacing w:before="200" w:after="120" w:line="276" w:lineRule="auto"/>
        <w:jc w:val="both"/>
      </w:pPr>
      <w:r>
        <w:rPr>
          <w:b/>
          <w:bCs/>
        </w:rPr>
        <w:t>B. Pour les personnes morales</w:t>
      </w:r>
    </w:p>
    <w:p w14:paraId="1A88279C" w14:textId="77777777" w:rsidR="00797195" w:rsidRDefault="00000000">
      <w:pPr>
        <w:spacing w:after="120" w:line="276" w:lineRule="auto"/>
        <w:jc w:val="both"/>
      </w:pPr>
      <w:r>
        <w:t>Je, soussigné ...................................... (</w:t>
      </w:r>
      <w:proofErr w:type="gramStart"/>
      <w:r>
        <w:t>prénom</w:t>
      </w:r>
      <w:proofErr w:type="gramEnd"/>
      <w:r>
        <w:t>, nom et qualité dans la société)</w:t>
      </w:r>
    </w:p>
    <w:p w14:paraId="74645A92" w14:textId="77777777" w:rsidR="00797195" w:rsidRDefault="00000000">
      <w:pPr>
        <w:spacing w:after="120" w:line="276" w:lineRule="auto"/>
        <w:jc w:val="both"/>
      </w:pPr>
      <w:proofErr w:type="gramStart"/>
      <w:r>
        <w:t>agissant</w:t>
      </w:r>
      <w:proofErr w:type="gramEnd"/>
      <w:r>
        <w:t xml:space="preserve"> au nom et pour le compte de ...................................... (</w:t>
      </w:r>
      <w:proofErr w:type="gramStart"/>
      <w:r>
        <w:t>raison</w:t>
      </w:r>
      <w:proofErr w:type="gramEnd"/>
      <w:r>
        <w:t xml:space="preserve"> sociale et forme juridique de la société)</w:t>
      </w:r>
    </w:p>
    <w:p w14:paraId="48F37725" w14:textId="77777777" w:rsidR="00797195" w:rsidRDefault="00000000">
      <w:pPr>
        <w:spacing w:after="120" w:line="276" w:lineRule="auto"/>
        <w:jc w:val="both"/>
      </w:pPr>
      <w:proofErr w:type="gramStart"/>
      <w:r>
        <w:t>au</w:t>
      </w:r>
      <w:proofErr w:type="gramEnd"/>
      <w:r>
        <w:t xml:space="preserve"> capital de : ......................................</w:t>
      </w:r>
    </w:p>
    <w:p w14:paraId="3F2E93B1" w14:textId="77777777" w:rsidR="00797195" w:rsidRDefault="00000000">
      <w:pPr>
        <w:spacing w:after="120" w:line="276" w:lineRule="auto"/>
        <w:jc w:val="both"/>
      </w:pPr>
      <w:proofErr w:type="gramStart"/>
      <w:r>
        <w:t>adresse</w:t>
      </w:r>
      <w:proofErr w:type="gramEnd"/>
      <w:r>
        <w:t xml:space="preserve"> du siège social : ......................................</w:t>
      </w:r>
    </w:p>
    <w:p w14:paraId="78E4D18D" w14:textId="77777777" w:rsidR="00797195" w:rsidRDefault="00000000">
      <w:pPr>
        <w:spacing w:after="120" w:line="276" w:lineRule="auto"/>
        <w:jc w:val="both"/>
      </w:pPr>
      <w:proofErr w:type="gramStart"/>
      <w:r>
        <w:t>adresse</w:t>
      </w:r>
      <w:proofErr w:type="gramEnd"/>
      <w:r>
        <w:t xml:space="preserve"> du domicile élu : ......................................</w:t>
      </w:r>
    </w:p>
    <w:p w14:paraId="7D480FC5" w14:textId="77777777" w:rsidR="00797195" w:rsidRDefault="00000000">
      <w:pPr>
        <w:spacing w:after="120" w:line="276" w:lineRule="auto"/>
        <w:jc w:val="both"/>
      </w:pPr>
      <w:proofErr w:type="gramStart"/>
      <w:r>
        <w:t>affiliée</w:t>
      </w:r>
      <w:proofErr w:type="gramEnd"/>
      <w:r>
        <w:t xml:space="preserve"> à la CNSS sous le n° : ......................................</w:t>
      </w:r>
    </w:p>
    <w:p w14:paraId="5091FB04" w14:textId="77777777" w:rsidR="00797195" w:rsidRDefault="00000000">
      <w:pPr>
        <w:spacing w:after="120" w:line="276" w:lineRule="auto"/>
        <w:jc w:val="both"/>
      </w:pPr>
      <w:proofErr w:type="gramStart"/>
      <w:r>
        <w:t>inscrite</w:t>
      </w:r>
      <w:proofErr w:type="gramEnd"/>
      <w:r>
        <w:t xml:space="preserve"> au registre du commerce de ....................... (</w:t>
      </w:r>
      <w:proofErr w:type="gramStart"/>
      <w:r>
        <w:t>localité</w:t>
      </w:r>
      <w:proofErr w:type="gramEnd"/>
      <w:r>
        <w:t>) sous le n° ......... n° de patente .........</w:t>
      </w:r>
    </w:p>
    <w:p w14:paraId="0B57AB70" w14:textId="77777777" w:rsidR="00797195" w:rsidRDefault="00000000">
      <w:pPr>
        <w:spacing w:after="120" w:line="276" w:lineRule="auto"/>
        <w:jc w:val="both"/>
      </w:pPr>
      <w:proofErr w:type="gramStart"/>
      <w:r>
        <w:t>n</w:t>
      </w:r>
      <w:proofErr w:type="gramEnd"/>
      <w:r>
        <w:t>° du compte courant postal, bancaire ou à la TGR (RIB) : ......................................</w:t>
      </w:r>
    </w:p>
    <w:p w14:paraId="3D589924" w14:textId="77777777" w:rsidR="00797195" w:rsidRDefault="00797195">
      <w:pPr>
        <w:spacing w:after="120"/>
      </w:pPr>
    </w:p>
    <w:p w14:paraId="0AF7CF6D" w14:textId="77777777" w:rsidR="00797195" w:rsidRDefault="00000000">
      <w:pPr>
        <w:spacing w:before="200" w:after="120" w:line="276" w:lineRule="auto"/>
        <w:jc w:val="both"/>
      </w:pPr>
      <w:r>
        <w:rPr>
          <w:b/>
          <w:bCs/>
        </w:rPr>
        <w:t>Déclare sur l’honneur :</w:t>
      </w:r>
    </w:p>
    <w:p w14:paraId="5FDD37CD" w14:textId="77777777" w:rsidR="00797195" w:rsidRDefault="00000000">
      <w:pPr>
        <w:pStyle w:val="Paragraphedeliste"/>
        <w:numPr>
          <w:ilvl w:val="0"/>
          <w:numId w:val="2"/>
        </w:numPr>
        <w:spacing w:after="120" w:line="276" w:lineRule="auto"/>
        <w:jc w:val="both"/>
      </w:pPr>
      <w:r>
        <w:t>M’engager à couvrir, dans les limites fixées dans le CPS, par une police d’assurance, les risques découlant de mon activité professionnelle ;</w:t>
      </w:r>
    </w:p>
    <w:p w14:paraId="44B29DF2" w14:textId="77777777" w:rsidR="00797195" w:rsidRDefault="00000000">
      <w:pPr>
        <w:pStyle w:val="Paragraphedeliste"/>
        <w:numPr>
          <w:ilvl w:val="0"/>
          <w:numId w:val="2"/>
        </w:numPr>
        <w:spacing w:after="120" w:line="276" w:lineRule="auto"/>
        <w:jc w:val="both"/>
      </w:pPr>
      <w:r>
        <w:t>Que je remplis les conditions prévues au règlement particulier de la consultation ;</w:t>
      </w:r>
    </w:p>
    <w:p w14:paraId="13622B07" w14:textId="77777777" w:rsidR="00797195" w:rsidRDefault="00000000">
      <w:pPr>
        <w:pStyle w:val="Paragraphedeliste"/>
        <w:numPr>
          <w:ilvl w:val="0"/>
          <w:numId w:val="2"/>
        </w:numPr>
        <w:spacing w:after="120" w:line="276" w:lineRule="auto"/>
        <w:jc w:val="both"/>
      </w:pPr>
      <w:r>
        <w:t>Étant en redressement judiciaire, j’atteste que je suis autorisé par l’autorité judiciaire compétente à poursuivre l’exercice de mon activité (*) ;</w:t>
      </w:r>
    </w:p>
    <w:p w14:paraId="3819646A" w14:textId="77777777" w:rsidR="00797195" w:rsidRDefault="00000000">
      <w:pPr>
        <w:pStyle w:val="Paragraphedeliste"/>
        <w:numPr>
          <w:ilvl w:val="0"/>
          <w:numId w:val="2"/>
        </w:numPr>
        <w:spacing w:after="120" w:line="276" w:lineRule="auto"/>
        <w:jc w:val="both"/>
      </w:pPr>
      <w:r>
        <w:lastRenderedPageBreak/>
        <w:t>M’engager, si j’envisage de recourir à la sous-traitance, que celle-ci ne peut dépasser 50 % du montant du marché ;</w:t>
      </w:r>
    </w:p>
    <w:p w14:paraId="412E0B2D" w14:textId="77777777" w:rsidR="00797195" w:rsidRDefault="00000000">
      <w:pPr>
        <w:pStyle w:val="Paragraphedeliste"/>
        <w:numPr>
          <w:ilvl w:val="0"/>
          <w:numId w:val="2"/>
        </w:numPr>
        <w:spacing w:after="120" w:line="276" w:lineRule="auto"/>
        <w:jc w:val="both"/>
      </w:pPr>
      <w:r>
        <w:t>M’engager à ne pas recourir par moi-même ou par personne interposée à des pratiques de fraude ou de corruption de personnes qui interviennent à quelque titre que ce soit dans les différentes procédures de passation, de gestion et d’exécution du présent marché.</w:t>
      </w:r>
    </w:p>
    <w:p w14:paraId="1E6FA0EE" w14:textId="77777777" w:rsidR="00797195" w:rsidRDefault="00797195">
      <w:pPr>
        <w:spacing w:after="60"/>
      </w:pPr>
    </w:p>
    <w:p w14:paraId="3B7D8D4C" w14:textId="77777777" w:rsidR="00797195" w:rsidRDefault="00000000">
      <w:pPr>
        <w:spacing w:after="120" w:line="276" w:lineRule="auto"/>
        <w:jc w:val="both"/>
      </w:pPr>
      <w:r>
        <w:rPr>
          <w:b/>
          <w:bCs/>
        </w:rPr>
        <w:t>Certifie l’exactitude des renseignements contenus dans la présente déclaration sur l’honneur et dans les pièces fournies dans l’offre remise.</w:t>
      </w:r>
    </w:p>
    <w:p w14:paraId="5AA27759" w14:textId="77777777" w:rsidR="00797195" w:rsidRDefault="00797195">
      <w:pPr>
        <w:spacing w:after="200"/>
      </w:pPr>
    </w:p>
    <w:p w14:paraId="25C969E6" w14:textId="77777777" w:rsidR="00797195" w:rsidRDefault="00000000">
      <w:pPr>
        <w:spacing w:after="120" w:line="276" w:lineRule="auto"/>
        <w:jc w:val="right"/>
      </w:pPr>
      <w:r>
        <w:t>Fait à ......................., le ......................................</w:t>
      </w:r>
    </w:p>
    <w:p w14:paraId="3AF06ADB" w14:textId="77777777" w:rsidR="00797195" w:rsidRDefault="00797195">
      <w:pPr>
        <w:spacing w:after="200"/>
      </w:pPr>
    </w:p>
    <w:p w14:paraId="34402648" w14:textId="77777777" w:rsidR="00797195" w:rsidRDefault="00000000">
      <w:pPr>
        <w:spacing w:after="120" w:line="276" w:lineRule="auto"/>
        <w:jc w:val="right"/>
      </w:pPr>
      <w:r>
        <w:rPr>
          <w:i/>
          <w:iCs/>
        </w:rPr>
        <w:t>Signature et cachet du soumissionnaire</w:t>
      </w:r>
    </w:p>
    <w:p w14:paraId="1C096004" w14:textId="77777777" w:rsidR="00797195" w:rsidRDefault="00797195">
      <w:pPr>
        <w:spacing w:after="200"/>
      </w:pPr>
    </w:p>
    <w:p w14:paraId="2EB53459" w14:textId="77777777" w:rsidR="00797195" w:rsidRDefault="00000000">
      <w:pPr>
        <w:spacing w:after="120" w:line="276" w:lineRule="auto"/>
        <w:jc w:val="both"/>
      </w:pPr>
      <w:r>
        <w:rPr>
          <w:i/>
          <w:iCs/>
          <w:color w:val="666666"/>
          <w:sz w:val="18"/>
          <w:szCs w:val="18"/>
        </w:rPr>
        <w:t>(*) À supprimer le cas échéant.</w:t>
      </w:r>
    </w:p>
    <w:p w14:paraId="78A60B54" w14:textId="77777777" w:rsidR="00797195" w:rsidRDefault="00000000">
      <w:pPr>
        <w:spacing w:after="120" w:line="276" w:lineRule="auto"/>
        <w:jc w:val="both"/>
      </w:pPr>
      <w:r>
        <w:rPr>
          <w:i/>
          <w:iCs/>
          <w:color w:val="666666"/>
          <w:sz w:val="18"/>
          <w:szCs w:val="18"/>
        </w:rPr>
        <w:t>En cas de groupement, chacun des membres doit présenter sa propre déclaration sur l’honneur.</w:t>
      </w:r>
    </w:p>
    <w:p w14:paraId="150D7CEB" w14:textId="77777777" w:rsidR="00797195" w:rsidRDefault="00000000">
      <w:pPr>
        <w:pStyle w:val="Titre1"/>
        <w:pageBreakBefore/>
        <w:spacing w:before="0" w:after="120" w:line="276" w:lineRule="auto"/>
        <w:jc w:val="both"/>
      </w:pPr>
      <w:r>
        <w:rPr>
          <w:sz w:val="22"/>
          <w:szCs w:val="22"/>
        </w:rPr>
        <w:lastRenderedPageBreak/>
        <w:t>Annexe 2 : Acte d’engagement</w:t>
      </w:r>
    </w:p>
    <w:p w14:paraId="417E1053" w14:textId="77777777" w:rsidR="00797195" w:rsidRDefault="00000000">
      <w:pPr>
        <w:spacing w:after="120" w:line="276" w:lineRule="auto"/>
        <w:jc w:val="both"/>
      </w:pPr>
      <w:r>
        <w:rPr>
          <w:b/>
          <w:bCs/>
        </w:rPr>
        <w:t xml:space="preserve">Objet de la consultation : </w:t>
      </w:r>
      <w:r>
        <w:t>Réalisation d’une étude de mesure d’impact et de mise en place d’un dispositif de suivi-évaluation</w:t>
      </w:r>
    </w:p>
    <w:p w14:paraId="1C450889" w14:textId="77777777" w:rsidR="00797195" w:rsidRDefault="00000000">
      <w:pPr>
        <w:spacing w:after="120" w:line="276" w:lineRule="auto"/>
        <w:jc w:val="both"/>
      </w:pPr>
      <w:r>
        <w:rPr>
          <w:b/>
          <w:bCs/>
        </w:rPr>
        <w:t xml:space="preserve">Mode de passation : </w:t>
      </w:r>
      <w:r>
        <w:t>Consultation n° …</w:t>
      </w:r>
    </w:p>
    <w:p w14:paraId="1F653515" w14:textId="77777777" w:rsidR="00797195" w:rsidRDefault="00797195">
      <w:pPr>
        <w:spacing w:after="120"/>
      </w:pPr>
    </w:p>
    <w:p w14:paraId="08B21AC8" w14:textId="77777777" w:rsidR="00797195" w:rsidRDefault="00000000">
      <w:pPr>
        <w:spacing w:before="200" w:after="120" w:line="276" w:lineRule="auto"/>
        <w:jc w:val="both"/>
      </w:pPr>
      <w:r>
        <w:rPr>
          <w:b/>
          <w:bCs/>
        </w:rPr>
        <w:t>A. Pour les personnes physiques</w:t>
      </w:r>
    </w:p>
    <w:p w14:paraId="33BA2E51" w14:textId="77777777" w:rsidR="00797195" w:rsidRDefault="00000000">
      <w:pPr>
        <w:spacing w:after="120" w:line="276" w:lineRule="auto"/>
        <w:jc w:val="both"/>
      </w:pPr>
      <w:r>
        <w:t>Je, soussigné : ...................................... (</w:t>
      </w:r>
      <w:proofErr w:type="gramStart"/>
      <w:r>
        <w:t>prénom</w:t>
      </w:r>
      <w:proofErr w:type="gramEnd"/>
      <w:r>
        <w:t>, nom et qualité)</w:t>
      </w:r>
    </w:p>
    <w:p w14:paraId="088FB418" w14:textId="77777777" w:rsidR="00797195" w:rsidRDefault="00000000">
      <w:pPr>
        <w:spacing w:after="120" w:line="276" w:lineRule="auto"/>
        <w:jc w:val="both"/>
      </w:pPr>
      <w:proofErr w:type="gramStart"/>
      <w:r>
        <w:t>agissant</w:t>
      </w:r>
      <w:proofErr w:type="gramEnd"/>
      <w:r>
        <w:t xml:space="preserve"> en mon nom personnel et pour mon propre compte,</w:t>
      </w:r>
    </w:p>
    <w:p w14:paraId="0BFCA7F5" w14:textId="77777777" w:rsidR="00797195" w:rsidRDefault="00000000">
      <w:pPr>
        <w:spacing w:after="120" w:line="276" w:lineRule="auto"/>
        <w:jc w:val="both"/>
      </w:pPr>
      <w:proofErr w:type="gramStart"/>
      <w:r>
        <w:t>adresse</w:t>
      </w:r>
      <w:proofErr w:type="gramEnd"/>
      <w:r>
        <w:t xml:space="preserve"> du domicile élu : ......................................</w:t>
      </w:r>
    </w:p>
    <w:p w14:paraId="76C40E0F" w14:textId="77777777" w:rsidR="00797195" w:rsidRDefault="00000000">
      <w:pPr>
        <w:spacing w:after="120" w:line="276" w:lineRule="auto"/>
        <w:jc w:val="both"/>
      </w:pPr>
      <w:proofErr w:type="gramStart"/>
      <w:r>
        <w:t>affilié</w:t>
      </w:r>
      <w:proofErr w:type="gramEnd"/>
      <w:r>
        <w:t xml:space="preserve"> à la CNSS sous le n° : ......................................</w:t>
      </w:r>
    </w:p>
    <w:p w14:paraId="5A5C4E28" w14:textId="77777777" w:rsidR="00797195" w:rsidRDefault="00000000">
      <w:pPr>
        <w:spacing w:after="120" w:line="276" w:lineRule="auto"/>
        <w:jc w:val="both"/>
      </w:pPr>
      <w:proofErr w:type="gramStart"/>
      <w:r>
        <w:t>inscrit</w:t>
      </w:r>
      <w:proofErr w:type="gramEnd"/>
      <w:r>
        <w:t xml:space="preserve"> au registre du commerce de ....................... (</w:t>
      </w:r>
      <w:proofErr w:type="gramStart"/>
      <w:r>
        <w:t>localité</w:t>
      </w:r>
      <w:proofErr w:type="gramEnd"/>
      <w:r>
        <w:t>) sous le n° ......... n° de patente .........</w:t>
      </w:r>
    </w:p>
    <w:p w14:paraId="222F4659" w14:textId="77777777" w:rsidR="00797195" w:rsidRDefault="00797195">
      <w:pPr>
        <w:spacing w:after="60"/>
      </w:pPr>
    </w:p>
    <w:p w14:paraId="0AAA9ACE" w14:textId="77777777" w:rsidR="00797195" w:rsidRDefault="00000000">
      <w:pPr>
        <w:spacing w:before="200" w:after="120" w:line="276" w:lineRule="auto"/>
        <w:jc w:val="both"/>
      </w:pPr>
      <w:r>
        <w:rPr>
          <w:b/>
          <w:bCs/>
        </w:rPr>
        <w:t>B. Pour les personnes morales</w:t>
      </w:r>
    </w:p>
    <w:p w14:paraId="4E01757A" w14:textId="77777777" w:rsidR="00797195" w:rsidRDefault="00000000">
      <w:pPr>
        <w:spacing w:after="120" w:line="276" w:lineRule="auto"/>
        <w:jc w:val="both"/>
      </w:pPr>
      <w:r>
        <w:t>Je, soussigné ...................................... (</w:t>
      </w:r>
      <w:proofErr w:type="gramStart"/>
      <w:r>
        <w:t>prénom</w:t>
      </w:r>
      <w:proofErr w:type="gramEnd"/>
      <w:r>
        <w:t>, nom et qualité dans la société)</w:t>
      </w:r>
    </w:p>
    <w:p w14:paraId="29049C58" w14:textId="77777777" w:rsidR="00797195" w:rsidRDefault="00000000">
      <w:pPr>
        <w:spacing w:after="120" w:line="276" w:lineRule="auto"/>
        <w:jc w:val="both"/>
      </w:pPr>
      <w:proofErr w:type="gramStart"/>
      <w:r>
        <w:t>agissant</w:t>
      </w:r>
      <w:proofErr w:type="gramEnd"/>
      <w:r>
        <w:t xml:space="preserve"> au nom et pour le compte de ...................................... (</w:t>
      </w:r>
      <w:proofErr w:type="gramStart"/>
      <w:r>
        <w:t>raison</w:t>
      </w:r>
      <w:proofErr w:type="gramEnd"/>
      <w:r>
        <w:t xml:space="preserve"> sociale et forme juridique de la société)</w:t>
      </w:r>
    </w:p>
    <w:p w14:paraId="30EE9956" w14:textId="77777777" w:rsidR="00797195" w:rsidRDefault="00000000">
      <w:pPr>
        <w:spacing w:after="120" w:line="276" w:lineRule="auto"/>
        <w:jc w:val="both"/>
      </w:pPr>
      <w:proofErr w:type="gramStart"/>
      <w:r>
        <w:t>au</w:t>
      </w:r>
      <w:proofErr w:type="gramEnd"/>
      <w:r>
        <w:t xml:space="preserve"> capital de : ......................................</w:t>
      </w:r>
    </w:p>
    <w:p w14:paraId="4C7D4904" w14:textId="77777777" w:rsidR="00797195" w:rsidRDefault="00000000">
      <w:pPr>
        <w:spacing w:after="120" w:line="276" w:lineRule="auto"/>
        <w:jc w:val="both"/>
      </w:pPr>
      <w:proofErr w:type="gramStart"/>
      <w:r>
        <w:t>adresse</w:t>
      </w:r>
      <w:proofErr w:type="gramEnd"/>
      <w:r>
        <w:t xml:space="preserve"> du siège social : ......................................</w:t>
      </w:r>
    </w:p>
    <w:p w14:paraId="7D66F0F2" w14:textId="77777777" w:rsidR="00797195" w:rsidRDefault="00000000">
      <w:pPr>
        <w:spacing w:after="120" w:line="276" w:lineRule="auto"/>
        <w:jc w:val="both"/>
      </w:pPr>
      <w:proofErr w:type="gramStart"/>
      <w:r>
        <w:t>adresse</w:t>
      </w:r>
      <w:proofErr w:type="gramEnd"/>
      <w:r>
        <w:t xml:space="preserve"> du domicile élu : ......................................</w:t>
      </w:r>
    </w:p>
    <w:p w14:paraId="71367397" w14:textId="77777777" w:rsidR="00797195" w:rsidRDefault="00000000">
      <w:pPr>
        <w:spacing w:after="120" w:line="276" w:lineRule="auto"/>
        <w:jc w:val="both"/>
      </w:pPr>
      <w:proofErr w:type="gramStart"/>
      <w:r>
        <w:t>affiliée</w:t>
      </w:r>
      <w:proofErr w:type="gramEnd"/>
      <w:r>
        <w:t xml:space="preserve"> à la CNSS sous le n° : ......................................</w:t>
      </w:r>
    </w:p>
    <w:p w14:paraId="50FD557A" w14:textId="77777777" w:rsidR="00797195" w:rsidRDefault="00000000">
      <w:pPr>
        <w:spacing w:after="120" w:line="276" w:lineRule="auto"/>
        <w:jc w:val="both"/>
      </w:pPr>
      <w:proofErr w:type="gramStart"/>
      <w:r>
        <w:t>inscrite</w:t>
      </w:r>
      <w:proofErr w:type="gramEnd"/>
      <w:r>
        <w:t xml:space="preserve"> au registre du commerce de ....................... (</w:t>
      </w:r>
      <w:proofErr w:type="gramStart"/>
      <w:r>
        <w:t>localité</w:t>
      </w:r>
      <w:proofErr w:type="gramEnd"/>
      <w:r>
        <w:t>) sous le n° ......... n° de patente .........</w:t>
      </w:r>
    </w:p>
    <w:p w14:paraId="21C4F945" w14:textId="77777777" w:rsidR="00797195" w:rsidRDefault="00797195">
      <w:pPr>
        <w:spacing w:after="120"/>
      </w:pPr>
    </w:p>
    <w:p w14:paraId="1C9B9EA4" w14:textId="77777777" w:rsidR="00797195" w:rsidRDefault="00000000">
      <w:pPr>
        <w:spacing w:after="120" w:line="276" w:lineRule="auto"/>
        <w:jc w:val="both"/>
      </w:pPr>
      <w:r>
        <w:t>En vertu des pouvoirs qui me sont conférés ;</w:t>
      </w:r>
    </w:p>
    <w:p w14:paraId="1921B380" w14:textId="77777777" w:rsidR="00797195" w:rsidRDefault="00000000">
      <w:pPr>
        <w:spacing w:after="120" w:line="276" w:lineRule="auto"/>
        <w:jc w:val="both"/>
      </w:pPr>
      <w:proofErr w:type="gramStart"/>
      <w:r>
        <w:t>après</w:t>
      </w:r>
      <w:proofErr w:type="gramEnd"/>
      <w:r>
        <w:t xml:space="preserve"> avoir pris connaissance du dossier de consultation pour les prestations sus précisées ;</w:t>
      </w:r>
    </w:p>
    <w:p w14:paraId="3CEFF8A3" w14:textId="77777777" w:rsidR="00797195" w:rsidRDefault="00000000">
      <w:pPr>
        <w:spacing w:after="120" w:line="276" w:lineRule="auto"/>
        <w:jc w:val="both"/>
      </w:pPr>
      <w:proofErr w:type="gramStart"/>
      <w:r>
        <w:t>après</w:t>
      </w:r>
      <w:proofErr w:type="gramEnd"/>
      <w:r>
        <w:t xml:space="preserve"> avoir apprécié à mon point de vue et sous ma responsabilité la nature et les difficultés que comportent ces prestations :</w:t>
      </w:r>
    </w:p>
    <w:p w14:paraId="5D225576" w14:textId="77777777" w:rsidR="00797195" w:rsidRDefault="00797195">
      <w:pPr>
        <w:spacing w:after="60"/>
      </w:pPr>
    </w:p>
    <w:p w14:paraId="09357E51" w14:textId="77777777" w:rsidR="00797195" w:rsidRDefault="00000000">
      <w:pPr>
        <w:pStyle w:val="Paragraphedeliste"/>
        <w:numPr>
          <w:ilvl w:val="0"/>
          <w:numId w:val="2"/>
        </w:numPr>
        <w:spacing w:after="120" w:line="276" w:lineRule="auto"/>
        <w:jc w:val="both"/>
      </w:pPr>
      <w:r>
        <w:t>Remets, revêtu(s) de ma signature un bordereau de prix — détail estimatif établi(s) selon le(s) modèle(s) du CPS ;</w:t>
      </w:r>
    </w:p>
    <w:p w14:paraId="643B92DC" w14:textId="77777777" w:rsidR="00797195" w:rsidRDefault="00000000">
      <w:pPr>
        <w:pStyle w:val="Paragraphedeliste"/>
        <w:numPr>
          <w:ilvl w:val="0"/>
          <w:numId w:val="2"/>
        </w:numPr>
        <w:spacing w:after="120" w:line="276" w:lineRule="auto"/>
        <w:jc w:val="both"/>
      </w:pPr>
      <w:r>
        <w:t>M’engage à exécuter lesdites prestations conformément au CPS et moyennant les prix que j’ai établis moi-même, lesquels font ressortir :</w:t>
      </w:r>
    </w:p>
    <w:p w14:paraId="5C7DECEB" w14:textId="77777777" w:rsidR="00797195" w:rsidRDefault="00797195">
      <w:pPr>
        <w:spacing w:after="60"/>
      </w:pPr>
    </w:p>
    <w:p w14:paraId="65F6DBE5" w14:textId="77777777" w:rsidR="00797195" w:rsidRDefault="00000000">
      <w:pPr>
        <w:spacing w:after="120" w:line="276" w:lineRule="auto"/>
        <w:ind w:left="720"/>
        <w:jc w:val="both"/>
      </w:pPr>
      <w:r>
        <w:lastRenderedPageBreak/>
        <w:t>Montant hors TVA : ...................................... (</w:t>
      </w:r>
      <w:proofErr w:type="gramStart"/>
      <w:r>
        <w:t>en</w:t>
      </w:r>
      <w:proofErr w:type="gramEnd"/>
      <w:r>
        <w:t xml:space="preserve"> lettres et en chiffres)</w:t>
      </w:r>
    </w:p>
    <w:p w14:paraId="4A5EC8F1" w14:textId="77777777" w:rsidR="00797195" w:rsidRDefault="00000000">
      <w:pPr>
        <w:spacing w:after="120" w:line="276" w:lineRule="auto"/>
        <w:ind w:left="720"/>
        <w:jc w:val="both"/>
      </w:pPr>
      <w:r>
        <w:t>Taux de la TVA : ...................................... (</w:t>
      </w:r>
      <w:proofErr w:type="gramStart"/>
      <w:r>
        <w:t>en</w:t>
      </w:r>
      <w:proofErr w:type="gramEnd"/>
      <w:r>
        <w:t xml:space="preserve"> pourcentage)</w:t>
      </w:r>
    </w:p>
    <w:p w14:paraId="314F9CD8" w14:textId="77777777" w:rsidR="00797195" w:rsidRDefault="00000000">
      <w:pPr>
        <w:spacing w:after="120" w:line="276" w:lineRule="auto"/>
        <w:ind w:left="720"/>
        <w:jc w:val="both"/>
      </w:pPr>
      <w:r>
        <w:t>Montant de la TVA : ...................................... (</w:t>
      </w:r>
      <w:proofErr w:type="gramStart"/>
      <w:r>
        <w:t>en</w:t>
      </w:r>
      <w:proofErr w:type="gramEnd"/>
      <w:r>
        <w:t xml:space="preserve"> lettres et en chiffres)</w:t>
      </w:r>
    </w:p>
    <w:p w14:paraId="5640D565" w14:textId="77777777" w:rsidR="00797195" w:rsidRDefault="00000000">
      <w:pPr>
        <w:spacing w:after="120" w:line="276" w:lineRule="auto"/>
        <w:ind w:left="720"/>
        <w:jc w:val="both"/>
      </w:pPr>
      <w:r>
        <w:t>Montant TVA comprise : ...................................... (</w:t>
      </w:r>
      <w:proofErr w:type="gramStart"/>
      <w:r>
        <w:t>en</w:t>
      </w:r>
      <w:proofErr w:type="gramEnd"/>
      <w:r>
        <w:t xml:space="preserve"> lettres et en chiffres)</w:t>
      </w:r>
    </w:p>
    <w:p w14:paraId="1047761C" w14:textId="77777777" w:rsidR="00797195" w:rsidRDefault="00797195">
      <w:pPr>
        <w:spacing w:after="120"/>
      </w:pPr>
    </w:p>
    <w:p w14:paraId="208AD1A9" w14:textId="77777777" w:rsidR="00797195" w:rsidRDefault="00000000">
      <w:pPr>
        <w:spacing w:after="120" w:line="276" w:lineRule="auto"/>
        <w:jc w:val="both"/>
      </w:pPr>
      <w:r>
        <w:t>La Fondation CDG se libérera des sommes dues par elle en faisant donner crédit au compte (à la trésorerie générale, bancaire, ou postal) ouvert à mon nom (ou au nom de la société) à ....................... (</w:t>
      </w:r>
      <w:proofErr w:type="gramStart"/>
      <w:r>
        <w:t>localité</w:t>
      </w:r>
      <w:proofErr w:type="gramEnd"/>
      <w:r>
        <w:t>), sous le Relevé d’Identification Bancaire (RIB) n° : ......................................</w:t>
      </w:r>
    </w:p>
    <w:p w14:paraId="089A10CC" w14:textId="77777777" w:rsidR="00797195" w:rsidRDefault="00797195">
      <w:pPr>
        <w:spacing w:after="200"/>
      </w:pPr>
    </w:p>
    <w:p w14:paraId="198311C4" w14:textId="77777777" w:rsidR="00797195" w:rsidRDefault="00000000">
      <w:pPr>
        <w:spacing w:after="120" w:line="276" w:lineRule="auto"/>
        <w:jc w:val="right"/>
      </w:pPr>
      <w:r>
        <w:t>Fait à ......................., le ......................................</w:t>
      </w:r>
    </w:p>
    <w:p w14:paraId="544D53C2" w14:textId="77777777" w:rsidR="00797195" w:rsidRDefault="00797195">
      <w:pPr>
        <w:spacing w:after="200"/>
      </w:pPr>
    </w:p>
    <w:p w14:paraId="35932539" w14:textId="77777777" w:rsidR="00797195" w:rsidRDefault="00000000">
      <w:pPr>
        <w:spacing w:after="120" w:line="276" w:lineRule="auto"/>
        <w:jc w:val="right"/>
      </w:pPr>
      <w:r>
        <w:rPr>
          <w:i/>
          <w:iCs/>
        </w:rPr>
        <w:t>Signature et cachet du soumissionnaire</w:t>
      </w:r>
    </w:p>
    <w:sectPr w:rsidR="00797195" w:rsidSect="0027378C">
      <w:headerReference w:type="default" r:id="rId8"/>
      <w:footerReference w:type="default" r:id="rId9"/>
      <w:pgSz w:w="11906" w:h="16838"/>
      <w:pgMar w:top="2064" w:right="1440" w:bottom="180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E6994" w14:textId="77777777" w:rsidR="00F8687E" w:rsidRDefault="00F8687E">
      <w:r>
        <w:separator/>
      </w:r>
    </w:p>
  </w:endnote>
  <w:endnote w:type="continuationSeparator" w:id="0">
    <w:p w14:paraId="638B58AE" w14:textId="77777777" w:rsidR="00F8687E" w:rsidRDefault="00F86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7DC3" w14:textId="77777777" w:rsidR="00797195" w:rsidRDefault="00797195">
    <w:pPr>
      <w:pBdr>
        <w:top w:val="single" w:sz="4" w:space="1" w:color="212E98"/>
      </w:pBdr>
      <w:spacing w:after="40"/>
    </w:pPr>
  </w:p>
  <w:p w14:paraId="55DC9FDE" w14:textId="77777777" w:rsidR="00797195" w:rsidRDefault="00000000">
    <w:pPr>
      <w:tabs>
        <w:tab w:val="right" w:pos="9026"/>
      </w:tabs>
    </w:pPr>
    <w:r>
      <w:rPr>
        <w:color w:val="0000CC"/>
        <w:sz w:val="16"/>
        <w:szCs w:val="16"/>
      </w:rPr>
      <w:t xml:space="preserve">L’Amicale Marocaine des Handicapés – 77, Bd 9 </w:t>
    </w:r>
    <w:proofErr w:type="gramStart"/>
    <w:r>
      <w:rPr>
        <w:color w:val="0000CC"/>
        <w:sz w:val="16"/>
        <w:szCs w:val="16"/>
      </w:rPr>
      <w:t>Avril</w:t>
    </w:r>
    <w:proofErr w:type="gramEnd"/>
    <w:r>
      <w:rPr>
        <w:color w:val="0000CC"/>
        <w:sz w:val="16"/>
        <w:szCs w:val="16"/>
      </w:rPr>
      <w:t xml:space="preserve"> - Palmier – Casablanca</w:t>
    </w:r>
  </w:p>
  <w:p w14:paraId="0BEDF592" w14:textId="77777777" w:rsidR="00797195" w:rsidRDefault="00000000">
    <w:pPr>
      <w:tabs>
        <w:tab w:val="right" w:pos="9026"/>
      </w:tabs>
    </w:pPr>
    <w:r>
      <w:rPr>
        <w:color w:val="0000CC"/>
        <w:sz w:val="16"/>
        <w:szCs w:val="16"/>
      </w:rPr>
      <w:t>+212 (0) 5 22 98 50 51 – www.amh.org.ma</w:t>
    </w:r>
    <w:r>
      <w:rPr>
        <w:color w:val="0000CC"/>
        <w:sz w:val="16"/>
        <w:szCs w:val="16"/>
      </w:rPr>
      <w:tab/>
      <w:t xml:space="preserve">Page </w:t>
    </w:r>
    <w:r>
      <w:rPr>
        <w:color w:val="0000CC"/>
        <w:sz w:val="16"/>
        <w:szCs w:val="16"/>
      </w:rPr>
      <w:fldChar w:fldCharType="begin"/>
    </w:r>
    <w:r>
      <w:rPr>
        <w:color w:val="0000CC"/>
        <w:sz w:val="16"/>
        <w:szCs w:val="16"/>
      </w:rPr>
      <w:instrText>PAGE</w:instrText>
    </w:r>
    <w:r>
      <w:rPr>
        <w:color w:val="0000CC"/>
        <w:sz w:val="16"/>
        <w:szCs w:val="16"/>
      </w:rPr>
      <w:fldChar w:fldCharType="separate"/>
    </w:r>
    <w:r w:rsidR="0027378C">
      <w:rPr>
        <w:noProof/>
        <w:color w:val="0000CC"/>
        <w:sz w:val="16"/>
        <w:szCs w:val="16"/>
      </w:rPr>
      <w:t>2</w:t>
    </w:r>
    <w:r>
      <w:rPr>
        <w:color w:val="0000CC"/>
        <w:sz w:val="16"/>
        <w:szCs w:val="16"/>
      </w:rPr>
      <w:fldChar w:fldCharType="end"/>
    </w:r>
  </w:p>
  <w:p w14:paraId="42F2A76C" w14:textId="77777777" w:rsidR="00797195" w:rsidRDefault="00000000">
    <w:pPr>
      <w:spacing w:before="20"/>
    </w:pPr>
    <w:r>
      <w:rPr>
        <w:i/>
        <w:iCs/>
        <w:color w:val="0000CC"/>
        <w:sz w:val="14"/>
        <w:szCs w:val="14"/>
      </w:rPr>
      <w:t>Association reconnue d’utilité publique par décret N°296216 du 2 Avril 1996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1707C" w14:textId="77777777" w:rsidR="00F8687E" w:rsidRDefault="00F8687E">
      <w:r>
        <w:separator/>
      </w:r>
    </w:p>
  </w:footnote>
  <w:footnote w:type="continuationSeparator" w:id="0">
    <w:p w14:paraId="06851778" w14:textId="77777777" w:rsidR="00F8687E" w:rsidRDefault="00F86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A20BF" w14:textId="77777777" w:rsidR="00797195" w:rsidRDefault="00000000">
    <w:r>
      <w:rPr>
        <w:noProof/>
      </w:rPr>
      <w:drawing>
        <wp:inline distT="0" distB="0" distL="0" distR="0" wp14:anchorId="29C427A4" wp14:editId="65318CA7">
          <wp:extent cx="1143000" cy="533400"/>
          <wp:effectExtent l="0" t="0" r="0" b="0"/>
          <wp:docPr id="405859642" name="amh-header" descr="Logo AMH" title="AM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533400"/>
                  </a:xfrm>
                  <a:prstGeom prst="rect">
                    <a:avLst/>
                  </a:prstGeom>
                </pic:spPr>
              </pic:pic>
            </a:graphicData>
          </a:graphic>
        </wp:inline>
      </w:drawing>
    </w:r>
  </w:p>
  <w:p w14:paraId="0267072C" w14:textId="77777777" w:rsidR="00797195" w:rsidRDefault="00797195">
    <w:pPr>
      <w:pBdr>
        <w:bottom w:val="single" w:sz="4" w:space="1" w:color="212E98"/>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20E08"/>
    <w:multiLevelType w:val="hybridMultilevel"/>
    <w:tmpl w:val="FBF484D4"/>
    <w:lvl w:ilvl="0" w:tplc="187CB920">
      <w:start w:val="1"/>
      <w:numFmt w:val="decimal"/>
      <w:lvlText w:val="%1."/>
      <w:lvlJc w:val="left"/>
      <w:pPr>
        <w:ind w:left="720" w:hanging="360"/>
      </w:pPr>
    </w:lvl>
    <w:lvl w:ilvl="1" w:tplc="708623E6">
      <w:numFmt w:val="decimal"/>
      <w:lvlText w:val=""/>
      <w:lvlJc w:val="left"/>
    </w:lvl>
    <w:lvl w:ilvl="2" w:tplc="B3401238">
      <w:numFmt w:val="decimal"/>
      <w:lvlText w:val=""/>
      <w:lvlJc w:val="left"/>
    </w:lvl>
    <w:lvl w:ilvl="3" w:tplc="5AC6D5E8">
      <w:numFmt w:val="decimal"/>
      <w:lvlText w:val=""/>
      <w:lvlJc w:val="left"/>
    </w:lvl>
    <w:lvl w:ilvl="4" w:tplc="BFD601F6">
      <w:numFmt w:val="decimal"/>
      <w:lvlText w:val=""/>
      <w:lvlJc w:val="left"/>
    </w:lvl>
    <w:lvl w:ilvl="5" w:tplc="87E8795C">
      <w:numFmt w:val="decimal"/>
      <w:lvlText w:val=""/>
      <w:lvlJc w:val="left"/>
    </w:lvl>
    <w:lvl w:ilvl="6" w:tplc="25D84A6E">
      <w:numFmt w:val="decimal"/>
      <w:lvlText w:val=""/>
      <w:lvlJc w:val="left"/>
    </w:lvl>
    <w:lvl w:ilvl="7" w:tplc="E8DAA876">
      <w:numFmt w:val="decimal"/>
      <w:lvlText w:val=""/>
      <w:lvlJc w:val="left"/>
    </w:lvl>
    <w:lvl w:ilvl="8" w:tplc="61F67D06">
      <w:numFmt w:val="decimal"/>
      <w:lvlText w:val=""/>
      <w:lvlJc w:val="left"/>
    </w:lvl>
  </w:abstractNum>
  <w:abstractNum w:abstractNumId="1" w15:restartNumberingAfterBreak="0">
    <w:nsid w:val="31FC3F26"/>
    <w:multiLevelType w:val="hybridMultilevel"/>
    <w:tmpl w:val="A5F8A1CE"/>
    <w:lvl w:ilvl="0" w:tplc="C59C74EE">
      <w:start w:val="1"/>
      <w:numFmt w:val="decimal"/>
      <w:lvlText w:val="%1."/>
      <w:lvlJc w:val="left"/>
      <w:pPr>
        <w:ind w:left="720" w:hanging="360"/>
      </w:pPr>
    </w:lvl>
    <w:lvl w:ilvl="1" w:tplc="35FA235A">
      <w:numFmt w:val="decimal"/>
      <w:lvlText w:val=""/>
      <w:lvlJc w:val="left"/>
    </w:lvl>
    <w:lvl w:ilvl="2" w:tplc="A29A7A94">
      <w:numFmt w:val="decimal"/>
      <w:lvlText w:val=""/>
      <w:lvlJc w:val="left"/>
    </w:lvl>
    <w:lvl w:ilvl="3" w:tplc="FF12FC2C">
      <w:numFmt w:val="decimal"/>
      <w:lvlText w:val=""/>
      <w:lvlJc w:val="left"/>
    </w:lvl>
    <w:lvl w:ilvl="4" w:tplc="BA60A494">
      <w:numFmt w:val="decimal"/>
      <w:lvlText w:val=""/>
      <w:lvlJc w:val="left"/>
    </w:lvl>
    <w:lvl w:ilvl="5" w:tplc="69D0CE32">
      <w:numFmt w:val="decimal"/>
      <w:lvlText w:val=""/>
      <w:lvlJc w:val="left"/>
    </w:lvl>
    <w:lvl w:ilvl="6" w:tplc="D5FA7CE4">
      <w:numFmt w:val="decimal"/>
      <w:lvlText w:val=""/>
      <w:lvlJc w:val="left"/>
    </w:lvl>
    <w:lvl w:ilvl="7" w:tplc="AFBC6E0E">
      <w:numFmt w:val="decimal"/>
      <w:lvlText w:val=""/>
      <w:lvlJc w:val="left"/>
    </w:lvl>
    <w:lvl w:ilvl="8" w:tplc="8B329DFE">
      <w:numFmt w:val="decimal"/>
      <w:lvlText w:val=""/>
      <w:lvlJc w:val="left"/>
    </w:lvl>
  </w:abstractNum>
  <w:abstractNum w:abstractNumId="2" w15:restartNumberingAfterBreak="0">
    <w:nsid w:val="57EE0DEC"/>
    <w:multiLevelType w:val="hybridMultilevel"/>
    <w:tmpl w:val="93F82D1C"/>
    <w:lvl w:ilvl="0" w:tplc="06A42CE2">
      <w:start w:val="1"/>
      <w:numFmt w:val="bullet"/>
      <w:lvlText w:val="●"/>
      <w:lvlJc w:val="left"/>
      <w:pPr>
        <w:ind w:left="720" w:hanging="360"/>
      </w:pPr>
    </w:lvl>
    <w:lvl w:ilvl="1" w:tplc="1DE89896">
      <w:start w:val="1"/>
      <w:numFmt w:val="bullet"/>
      <w:lvlText w:val="○"/>
      <w:lvlJc w:val="left"/>
      <w:pPr>
        <w:ind w:left="1440" w:hanging="360"/>
      </w:pPr>
    </w:lvl>
    <w:lvl w:ilvl="2" w:tplc="58344F5C">
      <w:start w:val="1"/>
      <w:numFmt w:val="bullet"/>
      <w:lvlText w:val="■"/>
      <w:lvlJc w:val="left"/>
      <w:pPr>
        <w:ind w:left="2160" w:hanging="360"/>
      </w:pPr>
    </w:lvl>
    <w:lvl w:ilvl="3" w:tplc="E09C829C">
      <w:start w:val="1"/>
      <w:numFmt w:val="bullet"/>
      <w:lvlText w:val="●"/>
      <w:lvlJc w:val="left"/>
      <w:pPr>
        <w:ind w:left="2880" w:hanging="360"/>
      </w:pPr>
    </w:lvl>
    <w:lvl w:ilvl="4" w:tplc="22EAF1A4">
      <w:start w:val="1"/>
      <w:numFmt w:val="bullet"/>
      <w:lvlText w:val="○"/>
      <w:lvlJc w:val="left"/>
      <w:pPr>
        <w:ind w:left="3600" w:hanging="360"/>
      </w:pPr>
    </w:lvl>
    <w:lvl w:ilvl="5" w:tplc="D80C0216">
      <w:start w:val="1"/>
      <w:numFmt w:val="bullet"/>
      <w:lvlText w:val="■"/>
      <w:lvlJc w:val="left"/>
      <w:pPr>
        <w:ind w:left="4320" w:hanging="360"/>
      </w:pPr>
    </w:lvl>
    <w:lvl w:ilvl="6" w:tplc="66BA53A6">
      <w:start w:val="1"/>
      <w:numFmt w:val="bullet"/>
      <w:lvlText w:val="●"/>
      <w:lvlJc w:val="left"/>
      <w:pPr>
        <w:ind w:left="5040" w:hanging="360"/>
      </w:pPr>
    </w:lvl>
    <w:lvl w:ilvl="7" w:tplc="65D881DA">
      <w:start w:val="1"/>
      <w:numFmt w:val="bullet"/>
      <w:lvlText w:val="●"/>
      <w:lvlJc w:val="left"/>
      <w:pPr>
        <w:ind w:left="5760" w:hanging="360"/>
      </w:pPr>
    </w:lvl>
    <w:lvl w:ilvl="8" w:tplc="235E3C8A">
      <w:start w:val="1"/>
      <w:numFmt w:val="bullet"/>
      <w:lvlText w:val="●"/>
      <w:lvlJc w:val="left"/>
      <w:pPr>
        <w:ind w:left="6480" w:hanging="360"/>
      </w:pPr>
    </w:lvl>
  </w:abstractNum>
  <w:abstractNum w:abstractNumId="3" w15:restartNumberingAfterBreak="0">
    <w:nsid w:val="5D1E0970"/>
    <w:multiLevelType w:val="hybridMultilevel"/>
    <w:tmpl w:val="A350B05C"/>
    <w:lvl w:ilvl="0" w:tplc="27BEF934">
      <w:start w:val="1"/>
      <w:numFmt w:val="bullet"/>
      <w:lvlText w:val="•"/>
      <w:lvlJc w:val="left"/>
      <w:pPr>
        <w:ind w:left="720" w:hanging="360"/>
      </w:pPr>
    </w:lvl>
    <w:lvl w:ilvl="1" w:tplc="07DCC824">
      <w:numFmt w:val="decimal"/>
      <w:lvlText w:val=""/>
      <w:lvlJc w:val="left"/>
    </w:lvl>
    <w:lvl w:ilvl="2" w:tplc="A058E35C">
      <w:numFmt w:val="decimal"/>
      <w:lvlText w:val=""/>
      <w:lvlJc w:val="left"/>
    </w:lvl>
    <w:lvl w:ilvl="3" w:tplc="CE5C5DD4">
      <w:numFmt w:val="decimal"/>
      <w:lvlText w:val=""/>
      <w:lvlJc w:val="left"/>
    </w:lvl>
    <w:lvl w:ilvl="4" w:tplc="1526A3BA">
      <w:numFmt w:val="decimal"/>
      <w:lvlText w:val=""/>
      <w:lvlJc w:val="left"/>
    </w:lvl>
    <w:lvl w:ilvl="5" w:tplc="C8422144">
      <w:numFmt w:val="decimal"/>
      <w:lvlText w:val=""/>
      <w:lvlJc w:val="left"/>
    </w:lvl>
    <w:lvl w:ilvl="6" w:tplc="7CDC8872">
      <w:numFmt w:val="decimal"/>
      <w:lvlText w:val=""/>
      <w:lvlJc w:val="left"/>
    </w:lvl>
    <w:lvl w:ilvl="7" w:tplc="E9BA0F3C">
      <w:numFmt w:val="decimal"/>
      <w:lvlText w:val=""/>
      <w:lvlJc w:val="left"/>
    </w:lvl>
    <w:lvl w:ilvl="8" w:tplc="EC3ECCD6">
      <w:numFmt w:val="decimal"/>
      <w:lvlText w:val=""/>
      <w:lvlJc w:val="left"/>
    </w:lvl>
  </w:abstractNum>
  <w:abstractNum w:abstractNumId="4" w15:restartNumberingAfterBreak="0">
    <w:nsid w:val="73C810E8"/>
    <w:multiLevelType w:val="hybridMultilevel"/>
    <w:tmpl w:val="82848E18"/>
    <w:lvl w:ilvl="0" w:tplc="B80AD8DC">
      <w:start w:val="1"/>
      <w:numFmt w:val="bullet"/>
      <w:lvlText w:val="▸"/>
      <w:lvlJc w:val="left"/>
      <w:pPr>
        <w:ind w:left="720" w:hanging="360"/>
      </w:pPr>
    </w:lvl>
    <w:lvl w:ilvl="1" w:tplc="0F2EB06E">
      <w:numFmt w:val="decimal"/>
      <w:lvlText w:val=""/>
      <w:lvlJc w:val="left"/>
    </w:lvl>
    <w:lvl w:ilvl="2" w:tplc="1056FC48">
      <w:numFmt w:val="decimal"/>
      <w:lvlText w:val=""/>
      <w:lvlJc w:val="left"/>
    </w:lvl>
    <w:lvl w:ilvl="3" w:tplc="F6BACC48">
      <w:numFmt w:val="decimal"/>
      <w:lvlText w:val=""/>
      <w:lvlJc w:val="left"/>
    </w:lvl>
    <w:lvl w:ilvl="4" w:tplc="72F8110E">
      <w:numFmt w:val="decimal"/>
      <w:lvlText w:val=""/>
      <w:lvlJc w:val="left"/>
    </w:lvl>
    <w:lvl w:ilvl="5" w:tplc="8B48D53A">
      <w:numFmt w:val="decimal"/>
      <w:lvlText w:val=""/>
      <w:lvlJc w:val="left"/>
    </w:lvl>
    <w:lvl w:ilvl="6" w:tplc="D2B61462">
      <w:numFmt w:val="decimal"/>
      <w:lvlText w:val=""/>
      <w:lvlJc w:val="left"/>
    </w:lvl>
    <w:lvl w:ilvl="7" w:tplc="3F26FE78">
      <w:numFmt w:val="decimal"/>
      <w:lvlText w:val=""/>
      <w:lvlJc w:val="left"/>
    </w:lvl>
    <w:lvl w:ilvl="8" w:tplc="054A5642">
      <w:numFmt w:val="decimal"/>
      <w:lvlText w:val=""/>
      <w:lvlJc w:val="left"/>
    </w:lvl>
  </w:abstractNum>
  <w:abstractNum w:abstractNumId="5" w15:restartNumberingAfterBreak="0">
    <w:nsid w:val="7D8766F3"/>
    <w:multiLevelType w:val="hybridMultilevel"/>
    <w:tmpl w:val="A41AEFA6"/>
    <w:lvl w:ilvl="0" w:tplc="520CF9E4">
      <w:start w:val="1"/>
      <w:numFmt w:val="bullet"/>
      <w:lvlText w:val="–"/>
      <w:lvlJc w:val="left"/>
      <w:pPr>
        <w:ind w:left="1080" w:hanging="360"/>
      </w:pPr>
    </w:lvl>
    <w:lvl w:ilvl="1" w:tplc="649C1066">
      <w:numFmt w:val="decimal"/>
      <w:lvlText w:val=""/>
      <w:lvlJc w:val="left"/>
    </w:lvl>
    <w:lvl w:ilvl="2" w:tplc="65528E8A">
      <w:numFmt w:val="decimal"/>
      <w:lvlText w:val=""/>
      <w:lvlJc w:val="left"/>
    </w:lvl>
    <w:lvl w:ilvl="3" w:tplc="C5980DCC">
      <w:numFmt w:val="decimal"/>
      <w:lvlText w:val=""/>
      <w:lvlJc w:val="left"/>
    </w:lvl>
    <w:lvl w:ilvl="4" w:tplc="B48E4C7E">
      <w:numFmt w:val="decimal"/>
      <w:lvlText w:val=""/>
      <w:lvlJc w:val="left"/>
    </w:lvl>
    <w:lvl w:ilvl="5" w:tplc="E1701C22">
      <w:numFmt w:val="decimal"/>
      <w:lvlText w:val=""/>
      <w:lvlJc w:val="left"/>
    </w:lvl>
    <w:lvl w:ilvl="6" w:tplc="B90A22D0">
      <w:numFmt w:val="decimal"/>
      <w:lvlText w:val=""/>
      <w:lvlJc w:val="left"/>
    </w:lvl>
    <w:lvl w:ilvl="7" w:tplc="DA9063DA">
      <w:numFmt w:val="decimal"/>
      <w:lvlText w:val=""/>
      <w:lvlJc w:val="left"/>
    </w:lvl>
    <w:lvl w:ilvl="8" w:tplc="0FE06568">
      <w:numFmt w:val="decimal"/>
      <w:lvlText w:val=""/>
      <w:lvlJc w:val="left"/>
    </w:lvl>
  </w:abstractNum>
  <w:num w:numId="1" w16cid:durableId="445123520">
    <w:abstractNumId w:val="2"/>
    <w:lvlOverride w:ilvl="0">
      <w:startOverride w:val="1"/>
    </w:lvlOverride>
  </w:num>
  <w:num w:numId="2" w16cid:durableId="1284193520">
    <w:abstractNumId w:val="3"/>
    <w:lvlOverride w:ilvl="0">
      <w:startOverride w:val="1"/>
    </w:lvlOverride>
  </w:num>
  <w:num w:numId="3" w16cid:durableId="1107459601">
    <w:abstractNumId w:val="4"/>
    <w:lvlOverride w:ilvl="0">
      <w:startOverride w:val="1"/>
    </w:lvlOverride>
  </w:num>
  <w:num w:numId="4" w16cid:durableId="296300688">
    <w:abstractNumId w:val="5"/>
    <w:lvlOverride w:ilvl="0">
      <w:startOverride w:val="1"/>
    </w:lvlOverride>
  </w:num>
  <w:num w:numId="5" w16cid:durableId="72633374">
    <w:abstractNumId w:val="1"/>
    <w:lvlOverride w:ilvl="0">
      <w:startOverride w:val="1"/>
    </w:lvlOverride>
  </w:num>
  <w:num w:numId="6" w16cid:durableId="20102125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195"/>
    <w:rsid w:val="0011556F"/>
    <w:rsid w:val="001A4FF1"/>
    <w:rsid w:val="00216115"/>
    <w:rsid w:val="0027378C"/>
    <w:rsid w:val="003F2C61"/>
    <w:rsid w:val="00797195"/>
    <w:rsid w:val="00927567"/>
    <w:rsid w:val="00A140C6"/>
    <w:rsid w:val="00B76DB9"/>
    <w:rsid w:val="00C072BA"/>
    <w:rsid w:val="00C37C01"/>
    <w:rsid w:val="00CA07AD"/>
    <w:rsid w:val="00E27FBF"/>
    <w:rsid w:val="00F45E98"/>
    <w:rsid w:val="00F8687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2470E"/>
  <w15:docId w15:val="{89E55755-F756-4D24-B3F7-0ACAE459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60" w:after="200"/>
      <w:outlineLvl w:val="0"/>
    </w:pPr>
    <w:rPr>
      <w:b/>
      <w:bCs/>
      <w:color w:val="212E98"/>
      <w:sz w:val="28"/>
      <w:szCs w:val="28"/>
    </w:rPr>
  </w:style>
  <w:style w:type="paragraph" w:styleId="Titre2">
    <w:name w:val="heading 2"/>
    <w:uiPriority w:val="9"/>
    <w:semiHidden/>
    <w:unhideWhenUsed/>
    <w:qFormat/>
    <w:pPr>
      <w:spacing w:before="240" w:after="160"/>
      <w:outlineLvl w:val="1"/>
    </w:pPr>
    <w:rPr>
      <w:b/>
      <w:bCs/>
      <w:color w:val="212E98"/>
      <w:sz w:val="24"/>
      <w:szCs w:val="24"/>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27378C"/>
    <w:pPr>
      <w:tabs>
        <w:tab w:val="center" w:pos="4536"/>
        <w:tab w:val="right" w:pos="9072"/>
      </w:tabs>
    </w:pPr>
  </w:style>
  <w:style w:type="character" w:customStyle="1" w:styleId="En-tteCar">
    <w:name w:val="En-tête Car"/>
    <w:basedOn w:val="Policepardfaut"/>
    <w:link w:val="En-tte"/>
    <w:uiPriority w:val="99"/>
    <w:rsid w:val="0027378C"/>
  </w:style>
  <w:style w:type="paragraph" w:styleId="Pieddepage">
    <w:name w:val="footer"/>
    <w:basedOn w:val="Normal"/>
    <w:link w:val="PieddepageCar"/>
    <w:uiPriority w:val="99"/>
    <w:unhideWhenUsed/>
    <w:rsid w:val="0027378C"/>
    <w:pPr>
      <w:tabs>
        <w:tab w:val="center" w:pos="4536"/>
        <w:tab w:val="right" w:pos="9072"/>
      </w:tabs>
    </w:pPr>
  </w:style>
  <w:style w:type="character" w:customStyle="1" w:styleId="PieddepageCar">
    <w:name w:val="Pied de page Car"/>
    <w:basedOn w:val="Policepardfaut"/>
    <w:link w:val="Pieddepage"/>
    <w:uiPriority w:val="99"/>
    <w:rsid w:val="00273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1294</TotalTime>
  <Pages>18</Pages>
  <Words>4823</Words>
  <Characters>26532</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COMPTE GENERIQUE6</cp:lastModifiedBy>
  <cp:revision>5</cp:revision>
  <dcterms:created xsi:type="dcterms:W3CDTF">2026-04-27T14:48:00Z</dcterms:created>
  <dcterms:modified xsi:type="dcterms:W3CDTF">2026-05-05T09:15:00Z</dcterms:modified>
</cp:coreProperties>
</file>