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24BC" w14:textId="77777777" w:rsidR="009E2955" w:rsidRDefault="009E2955" w:rsidP="009E2955">
      <w:pPr>
        <w:tabs>
          <w:tab w:val="left" w:pos="1335"/>
        </w:tabs>
      </w:pPr>
    </w:p>
    <w:p w14:paraId="24DF03A9" w14:textId="77777777" w:rsidR="009E2955" w:rsidRPr="008A6003" w:rsidRDefault="009E2955" w:rsidP="009E2955">
      <w:pPr>
        <w:spacing w:line="276" w:lineRule="auto"/>
        <w:ind w:firstLine="708"/>
        <w:jc w:val="both"/>
        <w:rPr>
          <w:b/>
          <w:bCs/>
          <w:color w:val="1F4E79"/>
          <w:sz w:val="32"/>
          <w:szCs w:val="32"/>
        </w:rPr>
      </w:pPr>
      <w:r w:rsidRPr="008A6003">
        <w:rPr>
          <w:b/>
          <w:bCs/>
          <w:color w:val="1F4E79"/>
          <w:sz w:val="32"/>
          <w:szCs w:val="32"/>
        </w:rPr>
        <w:t xml:space="preserve">Appel à candidatures - Recrutement d’un cabinet de consultance </w:t>
      </w:r>
    </w:p>
    <w:p w14:paraId="1A9C2930" w14:textId="77777777" w:rsidR="009E2955" w:rsidRPr="008A6003" w:rsidRDefault="009E2955" w:rsidP="009E2955">
      <w:pPr>
        <w:spacing w:line="276" w:lineRule="auto"/>
        <w:jc w:val="both"/>
        <w:rPr>
          <w:b/>
          <w:bCs/>
          <w:color w:val="1F4E79"/>
          <w:sz w:val="28"/>
          <w:szCs w:val="28"/>
        </w:rPr>
      </w:pPr>
    </w:p>
    <w:p w14:paraId="73E4D227" w14:textId="77777777" w:rsidR="009E2955" w:rsidRPr="008A6003" w:rsidRDefault="009E2955" w:rsidP="009E2955">
      <w:pPr>
        <w:spacing w:line="276" w:lineRule="auto"/>
        <w:jc w:val="both"/>
        <w:rPr>
          <w:b/>
          <w:bCs/>
        </w:rPr>
      </w:pPr>
    </w:p>
    <w:p w14:paraId="2C5F1975" w14:textId="77777777" w:rsidR="009E2955" w:rsidRPr="008A6003" w:rsidRDefault="009E2955" w:rsidP="009E2955">
      <w:pPr>
        <w:spacing w:line="276" w:lineRule="auto"/>
        <w:jc w:val="both"/>
        <w:rPr>
          <w:b/>
          <w:bCs/>
          <w:sz w:val="28"/>
          <w:szCs w:val="28"/>
        </w:rPr>
      </w:pPr>
      <w:r w:rsidRPr="008A6003">
        <w:rPr>
          <w:b/>
          <w:bCs/>
          <w:sz w:val="28"/>
          <w:szCs w:val="28"/>
        </w:rPr>
        <w:t>Le Programme DIALOGUE :</w:t>
      </w:r>
      <w:r w:rsidRPr="008A6003">
        <w:rPr>
          <w:b/>
          <w:bCs/>
        </w:rPr>
        <w:t xml:space="preserve"> TAKWIA – IBTIKAR – HIWAR – TAGHYIR</w:t>
      </w:r>
    </w:p>
    <w:p w14:paraId="57605792" w14:textId="77777777" w:rsidR="009E2955" w:rsidRPr="008A6003" w:rsidRDefault="009E2955" w:rsidP="009E2955">
      <w:pPr>
        <w:pStyle w:val="Heading4a"/>
        <w:spacing w:after="0" w:line="276" w:lineRule="auto"/>
        <w:ind w:left="284"/>
        <w:rPr>
          <w:color w:val="1F4E79"/>
          <w:sz w:val="28"/>
          <w:szCs w:val="28"/>
        </w:rPr>
      </w:pPr>
      <w:r w:rsidRPr="008A6003">
        <w:rPr>
          <w:color w:val="1F4E79"/>
          <w:sz w:val="28"/>
          <w:szCs w:val="28"/>
          <w:u w:val="single"/>
        </w:rPr>
        <w:t>Projet</w:t>
      </w:r>
      <w:r w:rsidRPr="008A6003">
        <w:rPr>
          <w:color w:val="1F4E79"/>
          <w:sz w:val="28"/>
          <w:szCs w:val="28"/>
        </w:rPr>
        <w:t> : « Renforcement des capacités organisationnelles de l'OMP pour une justice pénale équitable et des conditions de détention améliorées »</w:t>
      </w:r>
    </w:p>
    <w:p w14:paraId="260C737A" w14:textId="77777777" w:rsidR="009E2955" w:rsidRPr="008A6003" w:rsidRDefault="009E2955" w:rsidP="009E2955">
      <w:pPr>
        <w:spacing w:line="276" w:lineRule="auto"/>
        <w:jc w:val="both"/>
        <w:rPr>
          <w:b/>
          <w:bCs/>
          <w:sz w:val="28"/>
          <w:szCs w:val="28"/>
        </w:rPr>
      </w:pPr>
    </w:p>
    <w:p w14:paraId="46B6D754" w14:textId="77777777" w:rsidR="009E2955" w:rsidRPr="008A6003" w:rsidRDefault="009E2955" w:rsidP="009E2955">
      <w:pPr>
        <w:spacing w:line="276" w:lineRule="auto"/>
        <w:jc w:val="both"/>
        <w:rPr>
          <w:b/>
          <w:bCs/>
        </w:rPr>
      </w:pPr>
    </w:p>
    <w:p w14:paraId="6F6F7A58" w14:textId="77777777" w:rsidR="009E2955" w:rsidRPr="008A6003" w:rsidRDefault="009E2955" w:rsidP="009E2955">
      <w:pPr>
        <w:pStyle w:val="Paragraphedeliste"/>
        <w:numPr>
          <w:ilvl w:val="0"/>
          <w:numId w:val="6"/>
        </w:numPr>
        <w:spacing w:after="160" w:line="276" w:lineRule="auto"/>
        <w:jc w:val="both"/>
        <w:rPr>
          <w:b/>
          <w:bCs/>
        </w:rPr>
      </w:pPr>
      <w:r w:rsidRPr="008A6003">
        <w:rPr>
          <w:b/>
          <w:bCs/>
        </w:rPr>
        <w:t>Contexte général :</w:t>
      </w:r>
    </w:p>
    <w:p w14:paraId="22B57117" w14:textId="77777777" w:rsidR="009E2955" w:rsidRPr="008A6003" w:rsidRDefault="009E2955" w:rsidP="009E2955">
      <w:pPr>
        <w:spacing w:line="276" w:lineRule="auto"/>
        <w:jc w:val="both"/>
      </w:pPr>
      <w:r w:rsidRPr="008A6003">
        <w:t xml:space="preserve">Le Programme </w:t>
      </w:r>
      <w:r w:rsidRPr="008A6003">
        <w:rPr>
          <w:b/>
          <w:bCs/>
        </w:rPr>
        <w:t>DIALOGUE : TAKWIA – IBTIKAR – HIWAR – TAGHYIR</w:t>
      </w:r>
      <w:r w:rsidRPr="008A6003">
        <w:t>, est un programme d’Appui Stratégique à la Société Civile au Maroc. Il est financé par l’Union Européenne et s’étend sur une durée de quatre années, de 2023 à 2027. Il est mis en œuvre par un consortium réunissant trois organisations : Handicap International (HI), l’Association Meilleur Avenir pour Nos Enfants (AMANE), et Avocats Sans Frontières (ASF Maroc)</w:t>
      </w:r>
    </w:p>
    <w:p w14:paraId="25C04138" w14:textId="77777777" w:rsidR="009E2955" w:rsidRPr="008A6003" w:rsidRDefault="009E2955" w:rsidP="009E2955">
      <w:pPr>
        <w:spacing w:line="276" w:lineRule="auto"/>
        <w:jc w:val="both"/>
      </w:pPr>
      <w:r w:rsidRPr="008A6003">
        <w:t>L’objectif général du programme DIALOGUE est d’appuyer la structuration de la société civile marocaine en tant qu'actrice du changement et de bonne gouvernance et de favoriser sa participation effective et efficace à l'action publique.</w:t>
      </w:r>
    </w:p>
    <w:p w14:paraId="5B92CE38" w14:textId="77777777" w:rsidR="009E2955" w:rsidRPr="008A6003" w:rsidRDefault="009E2955" w:rsidP="009E2955">
      <w:pPr>
        <w:spacing w:line="276" w:lineRule="auto"/>
        <w:jc w:val="both"/>
      </w:pPr>
      <w:r w:rsidRPr="008A6003">
        <w:t>Ce programme entend accompagner 20 Organisations de la Société Civile (OSC) pour qu’elles renforcent leurs capacités à influencer les politiques publiques sectorielles et pour qu’elles s’inscrivent comme force de propositions dans quatre domaines principaux :</w:t>
      </w:r>
    </w:p>
    <w:p w14:paraId="29FE221F" w14:textId="77777777" w:rsidR="009E2955" w:rsidRPr="008A6003" w:rsidRDefault="009E2955" w:rsidP="009E2955">
      <w:pPr>
        <w:spacing w:line="276" w:lineRule="auto"/>
        <w:ind w:left="708"/>
        <w:jc w:val="both"/>
      </w:pPr>
    </w:p>
    <w:p w14:paraId="156FC8B2" w14:textId="77777777" w:rsidR="009E2955" w:rsidRPr="008A6003" w:rsidRDefault="009E2955" w:rsidP="009E2955">
      <w:pPr>
        <w:spacing w:line="276" w:lineRule="auto"/>
        <w:ind w:left="708"/>
        <w:jc w:val="both"/>
      </w:pPr>
      <w:r w:rsidRPr="008A6003">
        <w:t>i) La promotion et la protection des droits des personnes en situation de handicap ;</w:t>
      </w:r>
    </w:p>
    <w:p w14:paraId="7C730870" w14:textId="77777777" w:rsidR="009E2955" w:rsidRPr="008A6003" w:rsidRDefault="009E2955" w:rsidP="009E2955">
      <w:pPr>
        <w:spacing w:line="276" w:lineRule="auto"/>
        <w:ind w:left="708"/>
        <w:jc w:val="both"/>
      </w:pPr>
      <w:r w:rsidRPr="008A6003">
        <w:t>ii) La protection de l’enfance ;</w:t>
      </w:r>
    </w:p>
    <w:p w14:paraId="64179E3B" w14:textId="77777777" w:rsidR="009E2955" w:rsidRPr="008A6003" w:rsidRDefault="009E2955" w:rsidP="009E2955">
      <w:pPr>
        <w:spacing w:line="276" w:lineRule="auto"/>
        <w:ind w:left="708"/>
        <w:jc w:val="both"/>
      </w:pPr>
      <w:r w:rsidRPr="008A6003">
        <w:t>iii) L’accès à la justice ;</w:t>
      </w:r>
    </w:p>
    <w:p w14:paraId="791E2CD9" w14:textId="77777777" w:rsidR="009E2955" w:rsidRPr="008A6003" w:rsidRDefault="009E2955" w:rsidP="009E2955">
      <w:pPr>
        <w:spacing w:line="276" w:lineRule="auto"/>
        <w:ind w:left="708"/>
        <w:jc w:val="both"/>
      </w:pPr>
      <w:r w:rsidRPr="008A6003">
        <w:t>iv) Les droits des femmes.</w:t>
      </w:r>
    </w:p>
    <w:p w14:paraId="15AB84DC" w14:textId="77777777" w:rsidR="009E2955" w:rsidRPr="008A6003" w:rsidRDefault="009E2955" w:rsidP="009E2955">
      <w:pPr>
        <w:spacing w:line="276" w:lineRule="auto"/>
        <w:jc w:val="both"/>
      </w:pPr>
    </w:p>
    <w:p w14:paraId="7014A17E" w14:textId="77777777" w:rsidR="009E2955" w:rsidRPr="008A6003" w:rsidRDefault="009E2955" w:rsidP="009E2955">
      <w:pPr>
        <w:spacing w:line="276" w:lineRule="auto"/>
        <w:jc w:val="both"/>
      </w:pPr>
      <w:r w:rsidRPr="008A6003">
        <w:t xml:space="preserve">Le programme a 2 objectifs spécifiques reformulés comme suit : </w:t>
      </w:r>
    </w:p>
    <w:p w14:paraId="62845A1B" w14:textId="77777777" w:rsidR="009E2955" w:rsidRPr="008A6003" w:rsidRDefault="009E2955" w:rsidP="009E2955">
      <w:pPr>
        <w:spacing w:line="276" w:lineRule="auto"/>
        <w:jc w:val="both"/>
      </w:pPr>
      <w:r w:rsidRPr="008A6003">
        <w:t xml:space="preserve">1) Contribuer au développement organisationnel et structurel des acteurs stratégiques de la société civile marocaine par le renforcement de leurs capacités institutionnelles et </w:t>
      </w:r>
      <w:proofErr w:type="gramStart"/>
      <w:r w:rsidRPr="008A6003">
        <w:t>financières;</w:t>
      </w:r>
      <w:proofErr w:type="gramEnd"/>
      <w:r w:rsidRPr="008A6003">
        <w:t xml:space="preserve"> </w:t>
      </w:r>
    </w:p>
    <w:p w14:paraId="0A81970D" w14:textId="77777777" w:rsidR="009E2955" w:rsidRDefault="009E2955" w:rsidP="009E2955">
      <w:pPr>
        <w:spacing w:line="276" w:lineRule="auto"/>
        <w:jc w:val="both"/>
      </w:pPr>
      <w:r w:rsidRPr="008A6003">
        <w:t>2) Renforcer la participation de la société civile aux politiques publiques sectorielles à travers la facilitation du dialogue multi-acteurs et la mise en réseau.</w:t>
      </w:r>
    </w:p>
    <w:p w14:paraId="288C8E03" w14:textId="77777777" w:rsidR="009E2955" w:rsidRDefault="009E2955" w:rsidP="009E2955">
      <w:pPr>
        <w:spacing w:line="276" w:lineRule="auto"/>
        <w:jc w:val="both"/>
      </w:pPr>
    </w:p>
    <w:p w14:paraId="3329BA67" w14:textId="77777777" w:rsidR="009E2955" w:rsidRPr="008A6003" w:rsidRDefault="009E2955" w:rsidP="009E2955">
      <w:pPr>
        <w:tabs>
          <w:tab w:val="left" w:pos="3195"/>
        </w:tabs>
        <w:spacing w:line="276" w:lineRule="auto"/>
        <w:jc w:val="both"/>
        <w:rPr>
          <w:b/>
          <w:bCs/>
        </w:rPr>
      </w:pPr>
      <w:r>
        <w:rPr>
          <w:b/>
          <w:bCs/>
        </w:rPr>
        <w:tab/>
      </w:r>
    </w:p>
    <w:p w14:paraId="62E0BF88" w14:textId="77777777" w:rsidR="009E2955" w:rsidRDefault="009E2955" w:rsidP="009E2955">
      <w:pPr>
        <w:spacing w:line="276" w:lineRule="auto"/>
        <w:jc w:val="both"/>
        <w:rPr>
          <w:b/>
          <w:bCs/>
        </w:rPr>
      </w:pPr>
    </w:p>
    <w:p w14:paraId="6320B47F" w14:textId="77777777" w:rsidR="009E2955" w:rsidRPr="008A6003" w:rsidRDefault="009E2955" w:rsidP="009E2955">
      <w:pPr>
        <w:spacing w:line="276" w:lineRule="auto"/>
        <w:jc w:val="both"/>
        <w:rPr>
          <w:b/>
          <w:bCs/>
        </w:rPr>
      </w:pPr>
      <w:r w:rsidRPr="008A6003">
        <w:rPr>
          <w:b/>
          <w:bCs/>
        </w:rPr>
        <w:t>2. Présentation de l’Observatoire Marocain des Prisons (OMP) :</w:t>
      </w:r>
    </w:p>
    <w:p w14:paraId="78B96225" w14:textId="77777777" w:rsidR="009E2955" w:rsidRDefault="009E2955" w:rsidP="009E2955">
      <w:pPr>
        <w:spacing w:line="276" w:lineRule="auto"/>
        <w:jc w:val="both"/>
      </w:pPr>
    </w:p>
    <w:p w14:paraId="7AF728DD" w14:textId="77777777" w:rsidR="009E2955" w:rsidRPr="008A6003" w:rsidRDefault="009E2955" w:rsidP="009E2955">
      <w:pPr>
        <w:spacing w:line="276" w:lineRule="auto"/>
        <w:jc w:val="both"/>
      </w:pPr>
      <w:r w:rsidRPr="008A6003">
        <w:t xml:space="preserve">L’Observatoire Marocain des Prisons (OMP) est une organisation non gouvernementale indépendante créée en 1999, par des militants des droits humains pour protéger et promouvoir les droits des détenu(e)s. </w:t>
      </w:r>
    </w:p>
    <w:p w14:paraId="76E79733" w14:textId="77777777" w:rsidR="009E2955" w:rsidRPr="008A6003" w:rsidRDefault="009E2955" w:rsidP="009E2955">
      <w:pPr>
        <w:spacing w:line="276" w:lineRule="auto"/>
        <w:jc w:val="both"/>
      </w:pPr>
      <w:r w:rsidRPr="008A6003">
        <w:t>Il joue le rôle d’observatoire des conditions pénitentiaires au Maroc, de cellule d’assistance légale aux détenu(e)s et de traitement des doléances, de centre de recherche, d’information, de formation et de plaidoyer pour une prison plus humaine et pour l’amélioration du cadre législatif et les conditions de détention conformément aux standards internationaux en la matière.</w:t>
      </w:r>
    </w:p>
    <w:p w14:paraId="2DA0758A" w14:textId="77777777" w:rsidR="009E2955" w:rsidRPr="008A6003" w:rsidRDefault="009E2955" w:rsidP="009E2955">
      <w:pPr>
        <w:spacing w:line="276" w:lineRule="auto"/>
        <w:jc w:val="both"/>
        <w:rPr>
          <w:b/>
          <w:bCs/>
        </w:rPr>
      </w:pPr>
    </w:p>
    <w:p w14:paraId="7FCA0C44" w14:textId="77777777" w:rsidR="009E2955" w:rsidRPr="008A6003" w:rsidRDefault="009E2955" w:rsidP="009E2955">
      <w:pPr>
        <w:jc w:val="both"/>
        <w:rPr>
          <w:b/>
          <w:bCs/>
        </w:rPr>
      </w:pPr>
      <w:r w:rsidRPr="008A6003">
        <w:rPr>
          <w:b/>
          <w:bCs/>
        </w:rPr>
        <w:t>3. Contexte du projet :</w:t>
      </w:r>
    </w:p>
    <w:p w14:paraId="05458471" w14:textId="77777777" w:rsidR="009E2955" w:rsidRPr="008A6003" w:rsidRDefault="009E2955" w:rsidP="009E2955">
      <w:pPr>
        <w:jc w:val="both"/>
        <w:rPr>
          <w:b/>
          <w:bCs/>
        </w:rPr>
      </w:pPr>
    </w:p>
    <w:p w14:paraId="56F6A0B7" w14:textId="77777777" w:rsidR="009E2955" w:rsidRPr="008A6003" w:rsidRDefault="009E2955" w:rsidP="009E2955">
      <w:pPr>
        <w:jc w:val="both"/>
      </w:pPr>
      <w:r w:rsidRPr="008A6003">
        <w:t xml:space="preserve">Dans le cadre de la mise en œuvre du Programme DIALOGUE, l’Observatoire Marocain des Prisons (OMP) a bénéficié, au cours de l’année 2025 d’un accompagnement visant à renforcer ses capacités organisationnelles à travers un plan d’action initial. Pour l’année 2026, l’OMP doit poursuivre ce processus de consolidation institutionnelle en mettant en œuvre une nouvelle série d’activités stratégiques. </w:t>
      </w:r>
    </w:p>
    <w:p w14:paraId="4E807920" w14:textId="77777777" w:rsidR="009E2955" w:rsidRPr="008A6003" w:rsidRDefault="009E2955" w:rsidP="009E2955">
      <w:pPr>
        <w:spacing w:line="276" w:lineRule="auto"/>
        <w:jc w:val="both"/>
      </w:pPr>
      <w:r w:rsidRPr="008A6003">
        <w:t xml:space="preserve">Ces activités portent notamment sur la révision et la mise à jour des procédures administratives et financières, l’élaboration d’une politique de gestion des ressources humaines, le développement d’outils de suivi-évaluation, ainsi que la conception d’une stratégie de communication et de mobilisation des ressources. </w:t>
      </w:r>
    </w:p>
    <w:p w14:paraId="31B3A900" w14:textId="77777777" w:rsidR="009E2955" w:rsidRPr="008A6003" w:rsidRDefault="009E2955" w:rsidP="009E2955">
      <w:pPr>
        <w:spacing w:line="276" w:lineRule="auto"/>
        <w:jc w:val="both"/>
      </w:pPr>
      <w:r w:rsidRPr="008A6003">
        <w:t>C’est dans ce cadre que le présent appel à consultation est lancé, afin de recruter un cabinet de consultance chargé d’accompagner l’OMP dans la réalisation de ces activités et de produire les livrables attendus.</w:t>
      </w:r>
    </w:p>
    <w:p w14:paraId="54673FD0" w14:textId="77777777" w:rsidR="009E2955" w:rsidRPr="008A6003" w:rsidRDefault="009E2955" w:rsidP="009E2955">
      <w:pPr>
        <w:spacing w:line="276" w:lineRule="auto"/>
        <w:jc w:val="both"/>
        <w:rPr>
          <w:b/>
          <w:bCs/>
        </w:rPr>
      </w:pPr>
    </w:p>
    <w:p w14:paraId="1807EE19" w14:textId="77777777" w:rsidR="009E2955" w:rsidRPr="008A6003" w:rsidRDefault="009E2955" w:rsidP="009E2955">
      <w:pPr>
        <w:spacing w:line="276" w:lineRule="auto"/>
        <w:jc w:val="both"/>
        <w:rPr>
          <w:b/>
          <w:bCs/>
        </w:rPr>
      </w:pPr>
      <w:r w:rsidRPr="008A6003">
        <w:rPr>
          <w:b/>
          <w:bCs/>
        </w:rPr>
        <w:t>4. Objet de la consultation :</w:t>
      </w:r>
    </w:p>
    <w:p w14:paraId="0345FF44" w14:textId="77777777" w:rsidR="009E2955" w:rsidRPr="008A6003" w:rsidRDefault="009E2955" w:rsidP="009E2955">
      <w:pPr>
        <w:spacing w:line="276" w:lineRule="auto"/>
        <w:jc w:val="both"/>
      </w:pPr>
      <w:r w:rsidRPr="008A6003">
        <w:t xml:space="preserve">Dans le cadre de son projet de renforcement des capacités organisationnelles, l’Observatoire Marocain des Prisons (OMP) lance le présent appel à consultation pour recruter un cabinet de consultance spécialisé. Celui-ci accompagnera la mise en œuvre d’activités stratégiques portant sur la gestion administrative et financière, les ressources humaines, la communication institutionnelle et la mobilisation des ressources. </w:t>
      </w:r>
    </w:p>
    <w:p w14:paraId="2F5E8070" w14:textId="77777777" w:rsidR="009E2955" w:rsidRPr="008A6003" w:rsidRDefault="009E2955" w:rsidP="009E2955">
      <w:pPr>
        <w:spacing w:line="276" w:lineRule="auto"/>
        <w:jc w:val="both"/>
      </w:pPr>
    </w:p>
    <w:p w14:paraId="57720D06" w14:textId="77777777" w:rsidR="009E2955" w:rsidRPr="008A6003" w:rsidRDefault="009E2955" w:rsidP="009E2955">
      <w:pPr>
        <w:spacing w:line="276" w:lineRule="auto"/>
        <w:jc w:val="both"/>
        <w:rPr>
          <w:b/>
          <w:bCs/>
        </w:rPr>
      </w:pPr>
      <w:r w:rsidRPr="008A6003">
        <w:rPr>
          <w:b/>
          <w:bCs/>
        </w:rPr>
        <w:t>5. Objectifs de la mission :</w:t>
      </w:r>
    </w:p>
    <w:p w14:paraId="4D6A82D5" w14:textId="77777777" w:rsidR="009E2955" w:rsidRPr="008A6003" w:rsidRDefault="009E2955" w:rsidP="009E2955">
      <w:pPr>
        <w:spacing w:line="276" w:lineRule="auto"/>
        <w:jc w:val="both"/>
        <w:rPr>
          <w:b/>
          <w:bCs/>
        </w:rPr>
      </w:pPr>
    </w:p>
    <w:p w14:paraId="0A2A158D" w14:textId="77777777" w:rsidR="009E2955" w:rsidRPr="008A6003" w:rsidRDefault="009E2955" w:rsidP="009E2955">
      <w:pPr>
        <w:spacing w:line="276" w:lineRule="auto"/>
        <w:jc w:val="both"/>
        <w:rPr>
          <w:color w:val="000000"/>
        </w:rPr>
      </w:pPr>
      <w:r w:rsidRPr="008A6003">
        <w:rPr>
          <w:color w:val="000000"/>
        </w:rPr>
        <w:t>Le cabinet retenu sera chargé de réaliser les activités suivantes :</w:t>
      </w:r>
    </w:p>
    <w:p w14:paraId="0B89727B" w14:textId="77777777" w:rsidR="009E2955" w:rsidRPr="008A6003" w:rsidRDefault="009E2955" w:rsidP="009E2955">
      <w:pPr>
        <w:numPr>
          <w:ilvl w:val="0"/>
          <w:numId w:val="5"/>
        </w:numPr>
        <w:spacing w:after="160"/>
        <w:jc w:val="both"/>
        <w:rPr>
          <w:color w:val="000000"/>
        </w:rPr>
      </w:pPr>
      <w:r w:rsidRPr="008A6003">
        <w:rPr>
          <w:color w:val="000000"/>
        </w:rPr>
        <w:t>Révision et mise à jour du manuel des procédures administratives et financières ;</w:t>
      </w:r>
    </w:p>
    <w:p w14:paraId="32F98B43" w14:textId="77777777" w:rsidR="009E2955" w:rsidRPr="008A6003" w:rsidRDefault="009E2955" w:rsidP="009E2955">
      <w:pPr>
        <w:numPr>
          <w:ilvl w:val="0"/>
          <w:numId w:val="5"/>
        </w:numPr>
        <w:spacing w:after="160"/>
        <w:jc w:val="both"/>
        <w:rPr>
          <w:color w:val="000000"/>
        </w:rPr>
      </w:pPr>
      <w:r w:rsidRPr="008A6003">
        <w:rPr>
          <w:color w:val="000000"/>
        </w:rPr>
        <w:t>Élaboration d’une politique de gestion des ressources humaines ;</w:t>
      </w:r>
    </w:p>
    <w:p w14:paraId="2A60541F" w14:textId="77777777" w:rsidR="009E2955" w:rsidRPr="008A6003" w:rsidRDefault="009E2955" w:rsidP="009E2955">
      <w:pPr>
        <w:numPr>
          <w:ilvl w:val="0"/>
          <w:numId w:val="5"/>
        </w:numPr>
        <w:spacing w:after="160"/>
        <w:jc w:val="both"/>
        <w:rPr>
          <w:color w:val="000000"/>
        </w:rPr>
      </w:pPr>
      <w:r w:rsidRPr="008A6003">
        <w:rPr>
          <w:color w:val="000000"/>
        </w:rPr>
        <w:lastRenderedPageBreak/>
        <w:t>Organisation d’un atelier de formation en gestion administrative, financière et budgétaire ;</w:t>
      </w:r>
    </w:p>
    <w:p w14:paraId="4C87E760" w14:textId="77777777" w:rsidR="009E2955" w:rsidRPr="008A6003" w:rsidRDefault="009E2955" w:rsidP="009E2955">
      <w:pPr>
        <w:numPr>
          <w:ilvl w:val="0"/>
          <w:numId w:val="5"/>
        </w:numPr>
        <w:spacing w:after="160"/>
        <w:jc w:val="both"/>
        <w:rPr>
          <w:color w:val="000000"/>
        </w:rPr>
      </w:pPr>
      <w:r w:rsidRPr="008A6003">
        <w:rPr>
          <w:color w:val="000000"/>
        </w:rPr>
        <w:t>Élaboration d’un guide de montage et gestion des projets ;</w:t>
      </w:r>
    </w:p>
    <w:p w14:paraId="14C43DF8" w14:textId="77777777" w:rsidR="009E2955" w:rsidRPr="008A6003" w:rsidRDefault="009E2955" w:rsidP="009E2955">
      <w:pPr>
        <w:numPr>
          <w:ilvl w:val="0"/>
          <w:numId w:val="5"/>
        </w:numPr>
        <w:spacing w:after="160"/>
        <w:jc w:val="both"/>
        <w:rPr>
          <w:color w:val="000000"/>
        </w:rPr>
      </w:pPr>
      <w:r w:rsidRPr="008A6003">
        <w:rPr>
          <w:color w:val="000000"/>
        </w:rPr>
        <w:t>Développement d’une stratégie de gestion des risques ;</w:t>
      </w:r>
    </w:p>
    <w:p w14:paraId="478A22BE" w14:textId="77777777" w:rsidR="009E2955" w:rsidRPr="008A6003" w:rsidRDefault="009E2955" w:rsidP="009E2955">
      <w:pPr>
        <w:numPr>
          <w:ilvl w:val="0"/>
          <w:numId w:val="5"/>
        </w:numPr>
        <w:spacing w:after="160"/>
        <w:jc w:val="both"/>
        <w:rPr>
          <w:color w:val="000000"/>
        </w:rPr>
      </w:pPr>
      <w:r w:rsidRPr="008A6003">
        <w:rPr>
          <w:color w:val="000000"/>
        </w:rPr>
        <w:t>Mise en place d’un dispositif de suivi-évaluation ;</w:t>
      </w:r>
    </w:p>
    <w:p w14:paraId="1963B016" w14:textId="77777777" w:rsidR="009E2955" w:rsidRPr="008A6003" w:rsidRDefault="009E2955" w:rsidP="009E2955">
      <w:pPr>
        <w:numPr>
          <w:ilvl w:val="0"/>
          <w:numId w:val="5"/>
        </w:numPr>
        <w:spacing w:after="160"/>
        <w:jc w:val="both"/>
        <w:rPr>
          <w:color w:val="000000"/>
        </w:rPr>
      </w:pPr>
      <w:r w:rsidRPr="008A6003">
        <w:rPr>
          <w:color w:val="000000"/>
        </w:rPr>
        <w:t>Élaboration d’une stratégie de communication et conception de la charte graphique ;</w:t>
      </w:r>
    </w:p>
    <w:p w14:paraId="20670666" w14:textId="77777777" w:rsidR="009E2955" w:rsidRPr="008A6003" w:rsidRDefault="009E2955" w:rsidP="009E2955">
      <w:pPr>
        <w:numPr>
          <w:ilvl w:val="0"/>
          <w:numId w:val="5"/>
        </w:numPr>
        <w:spacing w:after="160"/>
        <w:jc w:val="both"/>
        <w:rPr>
          <w:color w:val="000000"/>
        </w:rPr>
      </w:pPr>
      <w:r w:rsidRPr="008A6003">
        <w:rPr>
          <w:color w:val="000000"/>
        </w:rPr>
        <w:t>Élaboration d’une stratégie de partenariat et de mobilisation des ressources ;</w:t>
      </w:r>
    </w:p>
    <w:p w14:paraId="2B6D38B2" w14:textId="77777777" w:rsidR="009E2955" w:rsidRPr="008A6003" w:rsidRDefault="009E2955" w:rsidP="009E2955">
      <w:pPr>
        <w:numPr>
          <w:ilvl w:val="0"/>
          <w:numId w:val="5"/>
        </w:numPr>
        <w:spacing w:after="160"/>
        <w:jc w:val="both"/>
        <w:rPr>
          <w:color w:val="000000"/>
        </w:rPr>
      </w:pPr>
      <w:r w:rsidRPr="008A6003">
        <w:rPr>
          <w:color w:val="000000"/>
        </w:rPr>
        <w:t>Organisation d’un atelier de formation sur les techniques de mobilisation des ressources.</w:t>
      </w:r>
    </w:p>
    <w:p w14:paraId="1824BCA3" w14:textId="77777777" w:rsidR="009E2955" w:rsidRPr="008A6003" w:rsidRDefault="009E2955" w:rsidP="009E2955">
      <w:pPr>
        <w:numPr>
          <w:ilvl w:val="0"/>
          <w:numId w:val="5"/>
        </w:numPr>
        <w:spacing w:after="160"/>
        <w:jc w:val="both"/>
        <w:rPr>
          <w:color w:val="000000"/>
        </w:rPr>
      </w:pPr>
      <w:r w:rsidRPr="008A6003">
        <w:rPr>
          <w:color w:val="000000"/>
        </w:rPr>
        <w:t>Production du rapport final de mission.</w:t>
      </w:r>
    </w:p>
    <w:p w14:paraId="546586FD" w14:textId="77777777" w:rsidR="009E2955" w:rsidRPr="008A6003" w:rsidRDefault="009E2955" w:rsidP="009E2955">
      <w:pPr>
        <w:jc w:val="both"/>
        <w:rPr>
          <w:color w:val="000000"/>
        </w:rPr>
      </w:pPr>
    </w:p>
    <w:p w14:paraId="55F88694" w14:textId="77777777" w:rsidR="009E2955" w:rsidRPr="008A6003" w:rsidRDefault="009E2955" w:rsidP="009E2955">
      <w:pPr>
        <w:jc w:val="both"/>
        <w:rPr>
          <w:color w:val="000000"/>
        </w:rPr>
      </w:pPr>
    </w:p>
    <w:p w14:paraId="3A4FC078" w14:textId="77777777" w:rsidR="009E2955" w:rsidRPr="008A6003" w:rsidRDefault="009E2955" w:rsidP="009E2955">
      <w:pPr>
        <w:spacing w:line="276" w:lineRule="auto"/>
        <w:jc w:val="both"/>
        <w:rPr>
          <w:b/>
          <w:bCs/>
          <w:color w:val="000000"/>
        </w:rPr>
      </w:pPr>
      <w:r w:rsidRPr="008A6003">
        <w:rPr>
          <w:b/>
          <w:bCs/>
          <w:color w:val="000000"/>
        </w:rPr>
        <w:t>6. Livrables attendus :</w:t>
      </w:r>
    </w:p>
    <w:p w14:paraId="20979A3B" w14:textId="77777777" w:rsidR="009E2955" w:rsidRPr="008A6003" w:rsidRDefault="009E2955" w:rsidP="009E2955">
      <w:pPr>
        <w:spacing w:line="276" w:lineRule="auto"/>
        <w:jc w:val="both"/>
        <w:rPr>
          <w:color w:val="000000"/>
        </w:rPr>
      </w:pPr>
    </w:p>
    <w:p w14:paraId="73048CB7" w14:textId="77777777" w:rsidR="009E2955" w:rsidRPr="008A6003" w:rsidRDefault="009E2955" w:rsidP="009E2955">
      <w:pPr>
        <w:spacing w:line="276" w:lineRule="auto"/>
        <w:jc w:val="both"/>
        <w:rPr>
          <w:color w:val="000000"/>
        </w:rPr>
      </w:pPr>
      <w:r w:rsidRPr="008A6003">
        <w:rPr>
          <w:color w:val="000000"/>
        </w:rPr>
        <w:t>À l’issue de la mission, le cabinet devra fournir :</w:t>
      </w:r>
    </w:p>
    <w:p w14:paraId="10974D08"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Un manuel des procédures administratives et financières validé.</w:t>
      </w:r>
    </w:p>
    <w:p w14:paraId="1772EBD3"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Une politique de gestion des ressources humaines formalisée.</w:t>
      </w:r>
    </w:p>
    <w:p w14:paraId="2ECDAECF"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Un guide méthodologique pratique en matière de gestion de projets.</w:t>
      </w:r>
    </w:p>
    <w:p w14:paraId="23B7F4AC"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Une stratégie de gestion des risques.</w:t>
      </w:r>
    </w:p>
    <w:p w14:paraId="63322A2C"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Un manuel de suivi-évaluation comprenant les outils (fiches, tableaux de bord) et un plan de mise en œuvre.</w:t>
      </w:r>
    </w:p>
    <w:p w14:paraId="1688C2F6"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Une stratégie de communication institutionnelle.</w:t>
      </w:r>
    </w:p>
    <w:p w14:paraId="17AC1D34"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Une charte graphique complète (logo, couleurs, typographies, déclinaisons visuelles).</w:t>
      </w:r>
    </w:p>
    <w:p w14:paraId="40E91275"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Un guide de stratégie partenariats et mobilisation des ressources.</w:t>
      </w:r>
    </w:p>
    <w:p w14:paraId="4875DFAE" w14:textId="77777777" w:rsidR="009E2955" w:rsidRPr="008A6003" w:rsidRDefault="009E2955" w:rsidP="009E2955">
      <w:pPr>
        <w:numPr>
          <w:ilvl w:val="0"/>
          <w:numId w:val="4"/>
        </w:numPr>
        <w:spacing w:before="100" w:beforeAutospacing="1" w:after="100" w:afterAutospacing="1" w:line="276" w:lineRule="auto"/>
        <w:jc w:val="both"/>
        <w:rPr>
          <w:color w:val="000000"/>
        </w:rPr>
      </w:pPr>
      <w:r w:rsidRPr="008A6003">
        <w:rPr>
          <w:color w:val="000000"/>
        </w:rPr>
        <w:t>Les programmes des formations animées, les supports pédagogiques, le rapport des formations (</w:t>
      </w:r>
      <w:proofErr w:type="spellStart"/>
      <w:r w:rsidRPr="008A6003">
        <w:rPr>
          <w:color w:val="000000"/>
        </w:rPr>
        <w:t>participant.</w:t>
      </w:r>
      <w:proofErr w:type="gramStart"/>
      <w:r w:rsidRPr="008A6003">
        <w:rPr>
          <w:color w:val="000000"/>
        </w:rPr>
        <w:t>e.s</w:t>
      </w:r>
      <w:proofErr w:type="spellEnd"/>
      <w:proofErr w:type="gramEnd"/>
      <w:r w:rsidRPr="008A6003">
        <w:rPr>
          <w:color w:val="000000"/>
        </w:rPr>
        <w:t>, évaluation, photos).</w:t>
      </w:r>
    </w:p>
    <w:p w14:paraId="6D12F37F" w14:textId="77777777" w:rsidR="009E2955" w:rsidRPr="008A6003" w:rsidRDefault="009E2955" w:rsidP="009E2955">
      <w:pPr>
        <w:numPr>
          <w:ilvl w:val="0"/>
          <w:numId w:val="4"/>
        </w:numPr>
        <w:spacing w:before="100" w:beforeAutospacing="1" w:after="100" w:afterAutospacing="1" w:line="276" w:lineRule="auto"/>
        <w:jc w:val="both"/>
      </w:pPr>
      <w:r w:rsidRPr="008A6003">
        <w:rPr>
          <w:color w:val="000000"/>
        </w:rPr>
        <w:t>Un rapport final de mission, incluant les recommandations pour renforcer la gouvernance et la performance institutionnelle</w:t>
      </w:r>
      <w:r w:rsidRPr="008A6003">
        <w:t xml:space="preserve"> de l’OMP.</w:t>
      </w:r>
    </w:p>
    <w:p w14:paraId="0B142E73" w14:textId="77777777" w:rsidR="009E2955" w:rsidRPr="008A6003" w:rsidRDefault="009E2955" w:rsidP="009E2955">
      <w:pPr>
        <w:pStyle w:val="NormalWeb"/>
        <w:spacing w:line="276" w:lineRule="auto"/>
        <w:jc w:val="both"/>
        <w:rPr>
          <w:b/>
          <w:bCs/>
        </w:rPr>
      </w:pPr>
      <w:r w:rsidRPr="008A6003">
        <w:rPr>
          <w:b/>
          <w:bCs/>
        </w:rPr>
        <w:t>7. Modalités de mise en œuvre :</w:t>
      </w:r>
    </w:p>
    <w:p w14:paraId="2046A70E" w14:textId="77777777" w:rsidR="009E2955" w:rsidRPr="008A6003" w:rsidRDefault="009E2955" w:rsidP="009E2955">
      <w:pPr>
        <w:pStyle w:val="NormalWeb"/>
        <w:spacing w:line="276" w:lineRule="auto"/>
        <w:jc w:val="both"/>
        <w:rPr>
          <w:rFonts w:eastAsia="Calibri"/>
          <w:color w:val="000000"/>
          <w:lang w:eastAsia="en-US"/>
        </w:rPr>
      </w:pPr>
      <w:r w:rsidRPr="008A6003">
        <w:rPr>
          <w:rFonts w:eastAsia="Calibri"/>
          <w:color w:val="000000"/>
          <w:lang w:eastAsia="en-US"/>
        </w:rPr>
        <w:t>Le cabinet travaillera en étroite collaboration avec la consultante en charge du projet DIALOGUE, afin d’assurer la cohérence et la complémentarité des actions menées dans le cadre du programme.</w:t>
      </w:r>
    </w:p>
    <w:p w14:paraId="51837D2E" w14:textId="77777777" w:rsidR="009E2955" w:rsidRPr="008A6003" w:rsidRDefault="009E2955" w:rsidP="009E2955">
      <w:pPr>
        <w:jc w:val="both"/>
        <w:rPr>
          <w:b/>
          <w:bCs/>
        </w:rPr>
      </w:pPr>
      <w:r w:rsidRPr="008A6003">
        <w:rPr>
          <w:b/>
          <w:bCs/>
        </w:rPr>
        <w:t>8. Profil recherché :</w:t>
      </w:r>
    </w:p>
    <w:p w14:paraId="3C663749" w14:textId="77777777" w:rsidR="009E2955" w:rsidRPr="008A6003" w:rsidRDefault="009E2955" w:rsidP="009E2955">
      <w:pPr>
        <w:pStyle w:val="NormalWeb"/>
        <w:numPr>
          <w:ilvl w:val="0"/>
          <w:numId w:val="1"/>
        </w:numPr>
        <w:spacing w:after="0" w:afterAutospacing="0"/>
        <w:jc w:val="both"/>
      </w:pPr>
      <w:r w:rsidRPr="008A6003">
        <w:lastRenderedPageBreak/>
        <w:t>Cabinet disposant d’une expertise confirmée en gestion organisationnelle, communication institutionnelle et mobilisation des ressources.</w:t>
      </w:r>
    </w:p>
    <w:p w14:paraId="3863C2BD" w14:textId="77777777" w:rsidR="009E2955" w:rsidRPr="008A6003" w:rsidRDefault="009E2955" w:rsidP="009E2955">
      <w:pPr>
        <w:pStyle w:val="NormalWeb"/>
        <w:numPr>
          <w:ilvl w:val="0"/>
          <w:numId w:val="1"/>
        </w:numPr>
        <w:spacing w:line="276" w:lineRule="auto"/>
        <w:jc w:val="both"/>
      </w:pPr>
      <w:r w:rsidRPr="008A6003">
        <w:t>Expérience avérée dans l’accompagnement d’organisations et d’associations.</w:t>
      </w:r>
    </w:p>
    <w:p w14:paraId="6632909E" w14:textId="77777777" w:rsidR="009E2955" w:rsidRPr="008A6003" w:rsidRDefault="009E2955" w:rsidP="009E2955">
      <w:pPr>
        <w:pStyle w:val="NormalWeb"/>
        <w:numPr>
          <w:ilvl w:val="0"/>
          <w:numId w:val="1"/>
        </w:numPr>
        <w:spacing w:line="276" w:lineRule="auto"/>
        <w:jc w:val="both"/>
      </w:pPr>
      <w:r w:rsidRPr="008A6003">
        <w:t>Équipe pluridisciplinaire avec compétences en finances, RH, communication et suivi-évaluation.</w:t>
      </w:r>
    </w:p>
    <w:p w14:paraId="3CE2F3EF" w14:textId="77777777" w:rsidR="009E2955" w:rsidRPr="008A6003" w:rsidRDefault="009E2955" w:rsidP="009E2955">
      <w:pPr>
        <w:pStyle w:val="NormalWeb"/>
        <w:numPr>
          <w:ilvl w:val="0"/>
          <w:numId w:val="1"/>
        </w:numPr>
        <w:spacing w:line="276" w:lineRule="auto"/>
        <w:jc w:val="both"/>
      </w:pPr>
      <w:r w:rsidRPr="008A6003">
        <w:t>Références pertinentes sur des missions comparables.</w:t>
      </w:r>
    </w:p>
    <w:p w14:paraId="69B4FF4C" w14:textId="77777777" w:rsidR="009E2955" w:rsidRPr="008A6003" w:rsidRDefault="009E2955" w:rsidP="009E2955">
      <w:pPr>
        <w:pStyle w:val="Paragraphedeliste"/>
        <w:numPr>
          <w:ilvl w:val="0"/>
          <w:numId w:val="1"/>
        </w:numPr>
        <w:spacing w:after="160" w:line="276" w:lineRule="auto"/>
        <w:jc w:val="both"/>
      </w:pPr>
      <w:r w:rsidRPr="008A6003">
        <w:t>Bonne connaissance du contexte et des enjeux des milieux pénitentiaires.</w:t>
      </w:r>
    </w:p>
    <w:p w14:paraId="5FB300E4" w14:textId="77777777" w:rsidR="009E2955" w:rsidRPr="008A6003" w:rsidRDefault="009E2955" w:rsidP="009E2955">
      <w:pPr>
        <w:spacing w:line="276" w:lineRule="auto"/>
        <w:jc w:val="both"/>
        <w:rPr>
          <w:b/>
          <w:bCs/>
        </w:rPr>
      </w:pPr>
    </w:p>
    <w:p w14:paraId="71361573" w14:textId="77777777" w:rsidR="009E2955" w:rsidRPr="008A6003" w:rsidRDefault="009E2955" w:rsidP="009E2955">
      <w:pPr>
        <w:spacing w:line="276" w:lineRule="auto"/>
        <w:jc w:val="both"/>
        <w:rPr>
          <w:b/>
          <w:bCs/>
        </w:rPr>
      </w:pPr>
      <w:r w:rsidRPr="008A6003">
        <w:rPr>
          <w:b/>
          <w:bCs/>
        </w:rPr>
        <w:t>9. Modalités de soumission :</w:t>
      </w:r>
    </w:p>
    <w:p w14:paraId="42E1C8D3" w14:textId="77777777" w:rsidR="009E2955" w:rsidRPr="008A6003" w:rsidRDefault="009E2955" w:rsidP="009E2955">
      <w:pPr>
        <w:spacing w:line="276" w:lineRule="auto"/>
        <w:jc w:val="both"/>
      </w:pPr>
      <w:r w:rsidRPr="008A6003">
        <w:t>Les cabinets intéressés sont invités à soumettre un dossier comprenant :</w:t>
      </w:r>
    </w:p>
    <w:p w14:paraId="6AE21DCB" w14:textId="77777777" w:rsidR="009E2955" w:rsidRPr="008A6003" w:rsidRDefault="009E2955" w:rsidP="009E2955">
      <w:pPr>
        <w:numPr>
          <w:ilvl w:val="0"/>
          <w:numId w:val="2"/>
        </w:numPr>
        <w:spacing w:line="276" w:lineRule="auto"/>
        <w:jc w:val="both"/>
      </w:pPr>
      <w:r w:rsidRPr="008A6003">
        <w:t>Le dossier administratif du cabinet</w:t>
      </w:r>
    </w:p>
    <w:p w14:paraId="7F9DD819" w14:textId="77777777" w:rsidR="009E2955" w:rsidRPr="008A6003" w:rsidRDefault="009E2955" w:rsidP="009E2955">
      <w:pPr>
        <w:pStyle w:val="Paragraphedeliste"/>
        <w:numPr>
          <w:ilvl w:val="0"/>
          <w:numId w:val="2"/>
        </w:numPr>
        <w:spacing w:after="160" w:line="276" w:lineRule="auto"/>
        <w:jc w:val="both"/>
      </w:pPr>
      <w:r w:rsidRPr="008A6003">
        <w:t>Une proposition technique détaillée</w:t>
      </w:r>
    </w:p>
    <w:p w14:paraId="657831E3" w14:textId="77777777" w:rsidR="009E2955" w:rsidRPr="008A6003" w:rsidRDefault="009E2955" w:rsidP="009E2955">
      <w:pPr>
        <w:pStyle w:val="Paragraphedeliste"/>
        <w:numPr>
          <w:ilvl w:val="0"/>
          <w:numId w:val="2"/>
        </w:numPr>
        <w:spacing w:after="160" w:line="276" w:lineRule="auto"/>
        <w:jc w:val="both"/>
      </w:pPr>
      <w:r w:rsidRPr="008A6003">
        <w:t>Une proposition financière détaillée</w:t>
      </w:r>
    </w:p>
    <w:p w14:paraId="4F1EC694" w14:textId="77777777" w:rsidR="009E2955" w:rsidRPr="008A6003" w:rsidRDefault="009E2955" w:rsidP="009E2955">
      <w:pPr>
        <w:pStyle w:val="Paragraphedeliste"/>
        <w:numPr>
          <w:ilvl w:val="0"/>
          <w:numId w:val="3"/>
        </w:numPr>
        <w:spacing w:after="160" w:line="276" w:lineRule="auto"/>
        <w:jc w:val="both"/>
      </w:pPr>
      <w:r w:rsidRPr="008A6003">
        <w:t>Des références de missions similaires</w:t>
      </w:r>
    </w:p>
    <w:p w14:paraId="6AB4F1EE" w14:textId="77777777" w:rsidR="009E2955" w:rsidRPr="008A6003" w:rsidRDefault="009E2955" w:rsidP="009E2955">
      <w:pPr>
        <w:pStyle w:val="Paragraphedeliste"/>
        <w:numPr>
          <w:ilvl w:val="0"/>
          <w:numId w:val="3"/>
        </w:numPr>
        <w:spacing w:after="160" w:line="276" w:lineRule="auto"/>
        <w:jc w:val="both"/>
      </w:pPr>
      <w:r w:rsidRPr="008A6003">
        <w:t xml:space="preserve">Les CV </w:t>
      </w:r>
      <w:proofErr w:type="gramStart"/>
      <w:r w:rsidRPr="008A6003">
        <w:t xml:space="preserve">des </w:t>
      </w:r>
      <w:proofErr w:type="spellStart"/>
      <w:r w:rsidRPr="008A6003">
        <w:t>expert</w:t>
      </w:r>
      <w:proofErr w:type="gramEnd"/>
      <w:r w:rsidRPr="008A6003">
        <w:t>.</w:t>
      </w:r>
      <w:proofErr w:type="gramStart"/>
      <w:r w:rsidRPr="008A6003">
        <w:t>e.s</w:t>
      </w:r>
      <w:proofErr w:type="spellEnd"/>
      <w:proofErr w:type="gramEnd"/>
      <w:r w:rsidRPr="008A6003">
        <w:t xml:space="preserve"> / </w:t>
      </w:r>
      <w:proofErr w:type="spellStart"/>
      <w:r w:rsidRPr="008A6003">
        <w:t>consultant.</w:t>
      </w:r>
      <w:proofErr w:type="gramStart"/>
      <w:r w:rsidRPr="008A6003">
        <w:t>e.s</w:t>
      </w:r>
      <w:proofErr w:type="spellEnd"/>
      <w:proofErr w:type="gramEnd"/>
      <w:r w:rsidRPr="008A6003">
        <w:t xml:space="preserve"> </w:t>
      </w:r>
      <w:proofErr w:type="spellStart"/>
      <w:r w:rsidRPr="008A6003">
        <w:t>proposé.</w:t>
      </w:r>
      <w:proofErr w:type="gramStart"/>
      <w:r w:rsidRPr="008A6003">
        <w:t>e.s</w:t>
      </w:r>
      <w:proofErr w:type="spellEnd"/>
      <w:proofErr w:type="gramEnd"/>
    </w:p>
    <w:p w14:paraId="3AB23351" w14:textId="77777777" w:rsidR="009E2955" w:rsidRPr="008A6003" w:rsidRDefault="009E2955" w:rsidP="009E2955">
      <w:pPr>
        <w:spacing w:line="276" w:lineRule="auto"/>
        <w:jc w:val="both"/>
      </w:pPr>
      <w:r w:rsidRPr="008A6003">
        <w:t xml:space="preserve">Les propositions doivent être envoyées au plus tard le </w:t>
      </w:r>
      <w:r w:rsidRPr="008A6003">
        <w:rPr>
          <w:b/>
          <w:bCs/>
        </w:rPr>
        <w:t>10/05/2026 avant 16h00 (heure Maroc).</w:t>
      </w:r>
    </w:p>
    <w:p w14:paraId="61678DEE" w14:textId="77777777" w:rsidR="009E2955" w:rsidRPr="008A6003" w:rsidRDefault="009E2955" w:rsidP="009E2955">
      <w:pPr>
        <w:pStyle w:val="Paragraphedeliste"/>
        <w:spacing w:line="276" w:lineRule="auto"/>
        <w:jc w:val="both"/>
      </w:pPr>
    </w:p>
    <w:p w14:paraId="5CBCC5B1" w14:textId="77777777" w:rsidR="009E2955" w:rsidRPr="008A6003" w:rsidRDefault="009E2955" w:rsidP="009E2955">
      <w:pPr>
        <w:spacing w:line="276" w:lineRule="auto"/>
        <w:jc w:val="both"/>
      </w:pPr>
      <w:r w:rsidRPr="008A6003">
        <w:rPr>
          <w:b/>
          <w:bCs/>
        </w:rPr>
        <w:t xml:space="preserve">10. Durée de la mission : </w:t>
      </w:r>
      <w:r w:rsidRPr="008A6003">
        <w:t>La mission débutera au mois de mai 2026 et s’étendra sur une période de huit (8) mois.</w:t>
      </w:r>
    </w:p>
    <w:p w14:paraId="50F8F629" w14:textId="77777777" w:rsidR="009E2955" w:rsidRPr="008A6003" w:rsidRDefault="009E2955" w:rsidP="009E2955">
      <w:pPr>
        <w:spacing w:line="276" w:lineRule="auto"/>
        <w:ind w:firstLine="360"/>
        <w:jc w:val="both"/>
        <w:rPr>
          <w:b/>
          <w:bCs/>
        </w:rPr>
      </w:pPr>
    </w:p>
    <w:p w14:paraId="7A085B15" w14:textId="77777777" w:rsidR="009E2955" w:rsidRPr="008A6003" w:rsidRDefault="009E2955" w:rsidP="009E2955">
      <w:pPr>
        <w:spacing w:line="276" w:lineRule="auto"/>
        <w:jc w:val="both"/>
        <w:rPr>
          <w:b/>
          <w:bCs/>
        </w:rPr>
      </w:pPr>
      <w:r w:rsidRPr="008A6003">
        <w:rPr>
          <w:b/>
          <w:bCs/>
        </w:rPr>
        <w:t>11. Contact :</w:t>
      </w:r>
    </w:p>
    <w:p w14:paraId="2D9B2CD1" w14:textId="77777777" w:rsidR="009E2955" w:rsidRPr="008A6003" w:rsidRDefault="009E2955" w:rsidP="009E2955">
      <w:pPr>
        <w:spacing w:line="276" w:lineRule="auto"/>
        <w:ind w:firstLine="360"/>
        <w:jc w:val="both"/>
      </w:pPr>
      <w:r w:rsidRPr="008A6003">
        <w:t xml:space="preserve">Les dossiers de candidatures doivent être envoyés à l’adresse suivante : </w:t>
      </w:r>
      <w:hyperlink r:id="rId7" w:history="1">
        <w:r w:rsidRPr="008A6003">
          <w:rPr>
            <w:rStyle w:val="Lienhypertexte"/>
            <w:rFonts w:eastAsiaTheme="majorEastAsia"/>
          </w:rPr>
          <w:t>omdp.direction.2@gmail.com</w:t>
        </w:r>
      </w:hyperlink>
      <w:r w:rsidRPr="008A6003">
        <w:t xml:space="preserve"> en mentionnant en objet «</w:t>
      </w:r>
      <w:r w:rsidRPr="008A6003">
        <w:rPr>
          <w:b/>
          <w:bCs/>
        </w:rPr>
        <w:t xml:space="preserve"> Candidature_</w:t>
      </w:r>
      <w:r w:rsidRPr="008A6003">
        <w:t xml:space="preserve"> </w:t>
      </w:r>
      <w:proofErr w:type="spellStart"/>
      <w:r w:rsidRPr="008A6003">
        <w:rPr>
          <w:b/>
          <w:bCs/>
        </w:rPr>
        <w:t>Consultation_Cabinet_Projet</w:t>
      </w:r>
      <w:proofErr w:type="spellEnd"/>
      <w:r w:rsidRPr="008A6003">
        <w:rPr>
          <w:b/>
          <w:bCs/>
        </w:rPr>
        <w:t xml:space="preserve"> OMP ».</w:t>
      </w:r>
    </w:p>
    <w:p w14:paraId="35130EE4" w14:textId="77777777" w:rsidR="009E2955" w:rsidRPr="008A6003" w:rsidRDefault="009E2955" w:rsidP="009E2955">
      <w:pPr>
        <w:spacing w:line="276" w:lineRule="auto"/>
        <w:jc w:val="both"/>
      </w:pPr>
    </w:p>
    <w:p w14:paraId="372F06D0" w14:textId="77777777" w:rsidR="009E2955" w:rsidRPr="008A6003" w:rsidRDefault="009E2955" w:rsidP="009E2955">
      <w:pPr>
        <w:spacing w:line="276" w:lineRule="auto"/>
        <w:jc w:val="both"/>
      </w:pPr>
      <w:r w:rsidRPr="008A6003">
        <w:t>L’OMP se réserve le droit de contacter uniquement les candidat(e)s présélectionné(e)s.</w:t>
      </w:r>
    </w:p>
    <w:p w14:paraId="22252611" w14:textId="77777777" w:rsidR="009E2955" w:rsidRPr="008A6003" w:rsidRDefault="009E2955" w:rsidP="009E2955">
      <w:pPr>
        <w:spacing w:line="276" w:lineRule="auto"/>
        <w:jc w:val="both"/>
      </w:pPr>
    </w:p>
    <w:p w14:paraId="06321F1D" w14:textId="77777777" w:rsidR="009E2955" w:rsidRDefault="009E2955" w:rsidP="009E2955"/>
    <w:p w14:paraId="4BE05335" w14:textId="77777777" w:rsidR="009E2955" w:rsidRDefault="009E2955" w:rsidP="009E2955"/>
    <w:p w14:paraId="77E4F084" w14:textId="77777777" w:rsidR="009E2955" w:rsidRDefault="009E2955" w:rsidP="009E2955"/>
    <w:p w14:paraId="24EBF71C" w14:textId="77777777" w:rsidR="009E2955" w:rsidRDefault="009E2955" w:rsidP="009E2955">
      <w:pPr>
        <w:rPr>
          <w:b/>
          <w:bCs/>
        </w:rPr>
      </w:pPr>
    </w:p>
    <w:p w14:paraId="0B73AA18" w14:textId="77777777" w:rsidR="009E2955" w:rsidRDefault="009E2955" w:rsidP="009E2955">
      <w:pPr>
        <w:jc w:val="center"/>
        <w:rPr>
          <w:b/>
          <w:bCs/>
        </w:rPr>
      </w:pPr>
    </w:p>
    <w:p w14:paraId="6F5101AE" w14:textId="77777777" w:rsidR="009E2955" w:rsidRDefault="009E2955" w:rsidP="009E2955"/>
    <w:p w14:paraId="11BA5B70" w14:textId="77777777" w:rsidR="009E2955" w:rsidRDefault="009E2955" w:rsidP="009E2955"/>
    <w:p w14:paraId="35528878" w14:textId="77777777" w:rsidR="009E2955" w:rsidRDefault="009E2955" w:rsidP="009E2955"/>
    <w:p w14:paraId="3A4A2096" w14:textId="77777777" w:rsidR="009E2955" w:rsidRDefault="009E2955" w:rsidP="009E2955"/>
    <w:p w14:paraId="48D0EEC9" w14:textId="77777777" w:rsidR="009E2955" w:rsidRDefault="009E2955" w:rsidP="009E2955"/>
    <w:p w14:paraId="12657C20" w14:textId="77777777" w:rsidR="009E2955" w:rsidRDefault="009E2955" w:rsidP="009E2955"/>
    <w:p w14:paraId="5A5788B4" w14:textId="77777777" w:rsidR="009E2955" w:rsidRDefault="009E2955" w:rsidP="009E2955"/>
    <w:p w14:paraId="6B243A41" w14:textId="77777777" w:rsidR="009E2955" w:rsidRDefault="009E2955" w:rsidP="009E2955"/>
    <w:p w14:paraId="67DBB9C9" w14:textId="77777777" w:rsidR="009E2955" w:rsidRDefault="009E2955" w:rsidP="009E2955"/>
    <w:p w14:paraId="73733CB1" w14:textId="77777777" w:rsidR="009E2955" w:rsidRDefault="009E2955" w:rsidP="009E2955"/>
    <w:p w14:paraId="26EC48FD" w14:textId="77777777" w:rsidR="009E2955" w:rsidRDefault="009E2955" w:rsidP="009E2955"/>
    <w:p w14:paraId="51B8E0F5" w14:textId="77777777" w:rsidR="009E2955" w:rsidRDefault="009E2955" w:rsidP="009E2955"/>
    <w:p w14:paraId="4DBFC048" w14:textId="3B67F98A" w:rsidR="009E2955" w:rsidRDefault="009E2955" w:rsidP="009E2955">
      <w:pPr>
        <w:tabs>
          <w:tab w:val="left" w:pos="1335"/>
        </w:tabs>
      </w:pPr>
    </w:p>
    <w:sectPr w:rsidR="009E295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86E4" w14:textId="77777777" w:rsidR="00FF5F04" w:rsidRDefault="00FF5F04" w:rsidP="009E2955">
      <w:r>
        <w:separator/>
      </w:r>
    </w:p>
  </w:endnote>
  <w:endnote w:type="continuationSeparator" w:id="0">
    <w:p w14:paraId="48BEFFDC" w14:textId="77777777" w:rsidR="00FF5F04" w:rsidRDefault="00FF5F04" w:rsidP="009E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5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4210"/>
      <w:gridCol w:w="3021"/>
    </w:tblGrid>
    <w:tr w:rsidR="009E2955" w:rsidRPr="00462FE4" w14:paraId="1438F853" w14:textId="77777777" w:rsidTr="00C84920">
      <w:trPr>
        <w:jc w:val="center"/>
      </w:trPr>
      <w:tc>
        <w:tcPr>
          <w:tcW w:w="3020" w:type="dxa"/>
          <w:vAlign w:val="center"/>
        </w:tcPr>
        <w:p w14:paraId="15B5945B" w14:textId="77777777" w:rsidR="009E2955" w:rsidRPr="00462FE4" w:rsidRDefault="009E2955" w:rsidP="009E2955">
          <w:pPr>
            <w:jc w:val="center"/>
            <w:rPr>
              <w:rFonts w:asciiTheme="minorBidi" w:hAnsiTheme="minorBidi"/>
            </w:rPr>
          </w:pPr>
          <w:r w:rsidRPr="00462FE4">
            <w:rPr>
              <w:rFonts w:asciiTheme="minorBidi" w:hAnsiTheme="minorBidi"/>
              <w:noProof/>
            </w:rPr>
            <w:drawing>
              <wp:inline distT="0" distB="0" distL="0" distR="0" wp14:anchorId="689B4E48" wp14:editId="291720F6">
                <wp:extent cx="1132147" cy="773983"/>
                <wp:effectExtent l="0" t="0" r="0" b="7620"/>
                <wp:docPr id="17803266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180" cy="792464"/>
                        </a:xfrm>
                        <a:prstGeom prst="rect">
                          <a:avLst/>
                        </a:prstGeom>
                        <a:noFill/>
                        <a:ln>
                          <a:noFill/>
                        </a:ln>
                      </pic:spPr>
                    </pic:pic>
                  </a:graphicData>
                </a:graphic>
              </wp:inline>
            </w:drawing>
          </w:r>
        </w:p>
      </w:tc>
      <w:tc>
        <w:tcPr>
          <w:tcW w:w="4210" w:type="dxa"/>
          <w:vAlign w:val="center"/>
        </w:tcPr>
        <w:p w14:paraId="72092E8A" w14:textId="77777777" w:rsidR="009E2955" w:rsidRPr="00462FE4" w:rsidRDefault="009E2955" w:rsidP="009E2955">
          <w:pPr>
            <w:jc w:val="center"/>
            <w:rPr>
              <w:rFonts w:asciiTheme="minorBidi" w:hAnsiTheme="minorBidi"/>
            </w:rPr>
          </w:pPr>
          <w:r w:rsidRPr="00462FE4">
            <w:rPr>
              <w:rFonts w:asciiTheme="minorBidi" w:hAnsiTheme="minorBidi"/>
              <w:noProof/>
            </w:rPr>
            <w:drawing>
              <wp:inline distT="0" distB="0" distL="0" distR="0" wp14:anchorId="77583A0E" wp14:editId="0EB8303D">
                <wp:extent cx="589535" cy="834005"/>
                <wp:effectExtent l="0" t="0" r="1270" b="4445"/>
                <wp:docPr id="11096613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8006" cy="860136"/>
                        </a:xfrm>
                        <a:prstGeom prst="rect">
                          <a:avLst/>
                        </a:prstGeom>
                        <a:noFill/>
                        <a:ln>
                          <a:noFill/>
                        </a:ln>
                      </pic:spPr>
                    </pic:pic>
                  </a:graphicData>
                </a:graphic>
              </wp:inline>
            </w:drawing>
          </w:r>
        </w:p>
      </w:tc>
      <w:tc>
        <w:tcPr>
          <w:tcW w:w="3021" w:type="dxa"/>
          <w:vAlign w:val="center"/>
        </w:tcPr>
        <w:p w14:paraId="654B48E9" w14:textId="77777777" w:rsidR="009E2955" w:rsidRPr="00462FE4" w:rsidRDefault="009E2955" w:rsidP="009E2955">
          <w:pPr>
            <w:jc w:val="center"/>
            <w:rPr>
              <w:rFonts w:asciiTheme="minorBidi" w:hAnsiTheme="minorBidi"/>
            </w:rPr>
          </w:pPr>
          <w:r w:rsidRPr="00462FE4">
            <w:rPr>
              <w:rFonts w:asciiTheme="minorBidi" w:hAnsiTheme="minorBidi"/>
              <w:noProof/>
            </w:rPr>
            <w:drawing>
              <wp:inline distT="0" distB="0" distL="0" distR="0" wp14:anchorId="4B1F3F18" wp14:editId="08C458A2">
                <wp:extent cx="1010708" cy="502458"/>
                <wp:effectExtent l="0" t="0" r="0" b="0"/>
                <wp:docPr id="192975947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0476" cy="517257"/>
                        </a:xfrm>
                        <a:prstGeom prst="rect">
                          <a:avLst/>
                        </a:prstGeom>
                        <a:noFill/>
                        <a:ln>
                          <a:noFill/>
                        </a:ln>
                      </pic:spPr>
                    </pic:pic>
                  </a:graphicData>
                </a:graphic>
              </wp:inline>
            </w:drawing>
          </w:r>
        </w:p>
      </w:tc>
    </w:tr>
  </w:tbl>
  <w:p w14:paraId="5AFF9652" w14:textId="77777777" w:rsidR="009E2955" w:rsidRDefault="009E29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3D3A" w14:textId="77777777" w:rsidR="00FF5F04" w:rsidRDefault="00FF5F04" w:rsidP="009E2955">
      <w:r>
        <w:separator/>
      </w:r>
    </w:p>
  </w:footnote>
  <w:footnote w:type="continuationSeparator" w:id="0">
    <w:p w14:paraId="53D3C351" w14:textId="77777777" w:rsidR="00FF5F04" w:rsidRDefault="00FF5F04" w:rsidP="009E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06"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3260"/>
      <w:gridCol w:w="3260"/>
    </w:tblGrid>
    <w:tr w:rsidR="009E2955" w14:paraId="453C1781" w14:textId="77777777" w:rsidTr="00C84920">
      <w:trPr>
        <w:jc w:val="center"/>
      </w:trPr>
      <w:tc>
        <w:tcPr>
          <w:tcW w:w="3686" w:type="dxa"/>
        </w:tcPr>
        <w:p w14:paraId="391F7AB6" w14:textId="77777777" w:rsidR="009E2955" w:rsidRDefault="009E2955" w:rsidP="009E2955">
          <w:pPr>
            <w:rPr>
              <w:rFonts w:asciiTheme="minorBidi" w:hAnsiTheme="minorBidi"/>
            </w:rPr>
          </w:pPr>
          <w:r>
            <w:rPr>
              <w:noProof/>
            </w:rPr>
            <w:drawing>
              <wp:anchor distT="0" distB="0" distL="114300" distR="114300" simplePos="0" relativeHeight="251659264" behindDoc="0" locked="0" layoutInCell="1" allowOverlap="1" wp14:anchorId="2D5E7CAB" wp14:editId="1CE16691">
                <wp:simplePos x="0" y="0"/>
                <wp:positionH relativeFrom="margin">
                  <wp:posOffset>1270</wp:posOffset>
                </wp:positionH>
                <wp:positionV relativeFrom="paragraph">
                  <wp:posOffset>26670</wp:posOffset>
                </wp:positionV>
                <wp:extent cx="1219200" cy="1021080"/>
                <wp:effectExtent l="0" t="0" r="0" b="7620"/>
                <wp:wrapSquare wrapText="bothSides"/>
                <wp:docPr id="2773883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88365" name="Image 27738836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FE4">
            <w:rPr>
              <w:rFonts w:asciiTheme="minorBidi" w:hAnsiTheme="minorBidi"/>
            </w:rPr>
            <w:tab/>
          </w:r>
          <w:r>
            <w:rPr>
              <w:rFonts w:asciiTheme="minorBidi" w:hAnsiTheme="minorBidi"/>
            </w:rPr>
            <w:t xml:space="preserve">      </w:t>
          </w:r>
        </w:p>
      </w:tc>
      <w:tc>
        <w:tcPr>
          <w:tcW w:w="3260" w:type="dxa"/>
          <w:vAlign w:val="center"/>
        </w:tcPr>
        <w:p w14:paraId="07B37253" w14:textId="77777777" w:rsidR="009E2955" w:rsidRPr="00C917E8" w:rsidRDefault="009E2955" w:rsidP="009E2955">
          <w:pPr>
            <w:jc w:val="right"/>
            <w:rPr>
              <w:rFonts w:asciiTheme="minorBidi" w:hAnsiTheme="minorBidi"/>
              <w:b/>
              <w:bCs/>
              <w:noProof/>
            </w:rPr>
          </w:pPr>
          <w:r>
            <w:rPr>
              <w:noProof/>
            </w:rPr>
            <w:drawing>
              <wp:anchor distT="0" distB="0" distL="114300" distR="114300" simplePos="0" relativeHeight="251661312" behindDoc="1" locked="0" layoutInCell="1" allowOverlap="1" wp14:anchorId="0E28963B" wp14:editId="461808D6">
                <wp:simplePos x="0" y="0"/>
                <wp:positionH relativeFrom="column">
                  <wp:posOffset>-1377315</wp:posOffset>
                </wp:positionH>
                <wp:positionV relativeFrom="paragraph">
                  <wp:posOffset>-57150</wp:posOffset>
                </wp:positionV>
                <wp:extent cx="1280160" cy="904875"/>
                <wp:effectExtent l="0" t="0" r="0" b="9525"/>
                <wp:wrapTight wrapText="bothSides">
                  <wp:wrapPolygon edited="0">
                    <wp:start x="0" y="0"/>
                    <wp:lineTo x="0" y="21373"/>
                    <wp:lineTo x="21214" y="21373"/>
                    <wp:lineTo x="21214" y="0"/>
                    <wp:lineTo x="0" y="0"/>
                  </wp:wrapPolygon>
                </wp:wrapTight>
                <wp:docPr id="16363605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60" w:type="dxa"/>
        </w:tcPr>
        <w:p w14:paraId="0A359905" w14:textId="77777777" w:rsidR="009E2955" w:rsidRDefault="009E2955" w:rsidP="009E2955">
          <w:pPr>
            <w:rPr>
              <w:rFonts w:asciiTheme="minorBidi" w:hAnsiTheme="minorBidi"/>
            </w:rPr>
          </w:pPr>
          <w:r w:rsidRPr="00A5119E">
            <w:rPr>
              <w:rFonts w:asciiTheme="minorBidi" w:hAnsiTheme="minorBidi"/>
              <w:noProof/>
            </w:rPr>
            <w:drawing>
              <wp:anchor distT="0" distB="0" distL="114300" distR="114300" simplePos="0" relativeHeight="251660288" behindDoc="0" locked="0" layoutInCell="1" allowOverlap="1" wp14:anchorId="2317C473" wp14:editId="61D826EC">
                <wp:simplePos x="0" y="0"/>
                <wp:positionH relativeFrom="margin">
                  <wp:posOffset>412750</wp:posOffset>
                </wp:positionH>
                <wp:positionV relativeFrom="page">
                  <wp:posOffset>25400</wp:posOffset>
                </wp:positionV>
                <wp:extent cx="1341120" cy="990600"/>
                <wp:effectExtent l="0" t="0" r="0" b="0"/>
                <wp:wrapSquare wrapText="bothSides"/>
                <wp:docPr id="128157479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4112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1AFBC3D" w14:textId="77777777" w:rsidR="009E2955" w:rsidRPr="009E2955" w:rsidRDefault="009E2955" w:rsidP="009E29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983"/>
    <w:multiLevelType w:val="hybridMultilevel"/>
    <w:tmpl w:val="F7D2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344CF0"/>
    <w:multiLevelType w:val="multilevel"/>
    <w:tmpl w:val="A62C4E0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23B0876"/>
    <w:multiLevelType w:val="hybridMultilevel"/>
    <w:tmpl w:val="98AA6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3C1B86"/>
    <w:multiLevelType w:val="hybridMultilevel"/>
    <w:tmpl w:val="823470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78260B7"/>
    <w:multiLevelType w:val="hybridMultilevel"/>
    <w:tmpl w:val="0CCC2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2E6931"/>
    <w:multiLevelType w:val="multilevel"/>
    <w:tmpl w:val="B4F0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857786">
    <w:abstractNumId w:val="0"/>
  </w:num>
  <w:num w:numId="2" w16cid:durableId="888221880">
    <w:abstractNumId w:val="4"/>
  </w:num>
  <w:num w:numId="3" w16cid:durableId="1372920513">
    <w:abstractNumId w:val="2"/>
  </w:num>
  <w:num w:numId="4" w16cid:durableId="374282558">
    <w:abstractNumId w:val="5"/>
  </w:num>
  <w:num w:numId="5" w16cid:durableId="291903576">
    <w:abstractNumId w:val="1"/>
  </w:num>
  <w:num w:numId="6" w16cid:durableId="176549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5"/>
    <w:rsid w:val="006A4B14"/>
    <w:rsid w:val="009E2955"/>
    <w:rsid w:val="00FF5F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A2BC"/>
  <w15:chartTrackingRefBased/>
  <w15:docId w15:val="{6818DE04-8B70-42E0-A510-EBC49DCB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55"/>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9E2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9E2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E295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E295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E295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E295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295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295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295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295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E295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E295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E295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E295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E29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29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29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2955"/>
    <w:rPr>
      <w:rFonts w:eastAsiaTheme="majorEastAsia" w:cstheme="majorBidi"/>
      <w:color w:val="272727" w:themeColor="text1" w:themeTint="D8"/>
    </w:rPr>
  </w:style>
  <w:style w:type="paragraph" w:styleId="Titre">
    <w:name w:val="Title"/>
    <w:basedOn w:val="Normal"/>
    <w:next w:val="Normal"/>
    <w:link w:val="TitreCar"/>
    <w:uiPriority w:val="10"/>
    <w:qFormat/>
    <w:rsid w:val="009E295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29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29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29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2955"/>
    <w:pPr>
      <w:spacing w:before="160"/>
      <w:jc w:val="center"/>
    </w:pPr>
    <w:rPr>
      <w:i/>
      <w:iCs/>
      <w:color w:val="404040" w:themeColor="text1" w:themeTint="BF"/>
    </w:rPr>
  </w:style>
  <w:style w:type="character" w:customStyle="1" w:styleId="CitationCar">
    <w:name w:val="Citation Car"/>
    <w:basedOn w:val="Policepardfaut"/>
    <w:link w:val="Citation"/>
    <w:uiPriority w:val="29"/>
    <w:rsid w:val="009E2955"/>
    <w:rPr>
      <w:i/>
      <w:iCs/>
      <w:color w:val="404040" w:themeColor="text1" w:themeTint="BF"/>
    </w:rPr>
  </w:style>
  <w:style w:type="paragraph" w:styleId="Paragraphedeliste">
    <w:name w:val="List Paragraph"/>
    <w:basedOn w:val="Normal"/>
    <w:uiPriority w:val="34"/>
    <w:qFormat/>
    <w:rsid w:val="009E2955"/>
    <w:pPr>
      <w:ind w:left="720"/>
      <w:contextualSpacing/>
    </w:pPr>
  </w:style>
  <w:style w:type="character" w:styleId="Accentuationintense">
    <w:name w:val="Intense Emphasis"/>
    <w:basedOn w:val="Policepardfaut"/>
    <w:uiPriority w:val="21"/>
    <w:qFormat/>
    <w:rsid w:val="009E2955"/>
    <w:rPr>
      <w:i/>
      <w:iCs/>
      <w:color w:val="2F5496" w:themeColor="accent1" w:themeShade="BF"/>
    </w:rPr>
  </w:style>
  <w:style w:type="paragraph" w:styleId="Citationintense">
    <w:name w:val="Intense Quote"/>
    <w:basedOn w:val="Normal"/>
    <w:next w:val="Normal"/>
    <w:link w:val="CitationintenseCar"/>
    <w:uiPriority w:val="30"/>
    <w:qFormat/>
    <w:rsid w:val="009E2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E2955"/>
    <w:rPr>
      <w:i/>
      <w:iCs/>
      <w:color w:val="2F5496" w:themeColor="accent1" w:themeShade="BF"/>
    </w:rPr>
  </w:style>
  <w:style w:type="character" w:styleId="Rfrenceintense">
    <w:name w:val="Intense Reference"/>
    <w:basedOn w:val="Policepardfaut"/>
    <w:uiPriority w:val="32"/>
    <w:qFormat/>
    <w:rsid w:val="009E2955"/>
    <w:rPr>
      <w:b/>
      <w:bCs/>
      <w:smallCaps/>
      <w:color w:val="2F5496" w:themeColor="accent1" w:themeShade="BF"/>
      <w:spacing w:val="5"/>
    </w:rPr>
  </w:style>
  <w:style w:type="paragraph" w:styleId="En-tte">
    <w:name w:val="header"/>
    <w:basedOn w:val="Normal"/>
    <w:link w:val="En-tteCar"/>
    <w:uiPriority w:val="99"/>
    <w:unhideWhenUsed/>
    <w:rsid w:val="009E2955"/>
    <w:pPr>
      <w:tabs>
        <w:tab w:val="center" w:pos="4536"/>
        <w:tab w:val="right" w:pos="9072"/>
      </w:tabs>
    </w:pPr>
  </w:style>
  <w:style w:type="character" w:customStyle="1" w:styleId="En-tteCar">
    <w:name w:val="En-tête Car"/>
    <w:basedOn w:val="Policepardfaut"/>
    <w:link w:val="En-tte"/>
    <w:uiPriority w:val="99"/>
    <w:rsid w:val="009E2955"/>
  </w:style>
  <w:style w:type="paragraph" w:styleId="Pieddepage">
    <w:name w:val="footer"/>
    <w:basedOn w:val="Normal"/>
    <w:link w:val="PieddepageCar"/>
    <w:uiPriority w:val="99"/>
    <w:unhideWhenUsed/>
    <w:rsid w:val="009E2955"/>
    <w:pPr>
      <w:tabs>
        <w:tab w:val="center" w:pos="4536"/>
        <w:tab w:val="right" w:pos="9072"/>
      </w:tabs>
    </w:pPr>
  </w:style>
  <w:style w:type="character" w:customStyle="1" w:styleId="PieddepageCar">
    <w:name w:val="Pied de page Car"/>
    <w:basedOn w:val="Policepardfaut"/>
    <w:link w:val="Pieddepage"/>
    <w:uiPriority w:val="99"/>
    <w:rsid w:val="009E2955"/>
  </w:style>
  <w:style w:type="table" w:styleId="Grilledutableau">
    <w:name w:val="Table Grid"/>
    <w:basedOn w:val="TableauNormal"/>
    <w:uiPriority w:val="39"/>
    <w:rsid w:val="009E2955"/>
    <w:pPr>
      <w:spacing w:after="0" w:line="240" w:lineRule="auto"/>
    </w:pPr>
    <w:rPr>
      <w:kern w:val="0"/>
      <w:sz w:val="22"/>
      <w:szCs w:val="22"/>
      <w:lang w:eastAsia="fr-FR" w:bidi="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9E2955"/>
    <w:rPr>
      <w:color w:val="0000FF"/>
      <w:u w:val="single"/>
    </w:rPr>
  </w:style>
  <w:style w:type="paragraph" w:styleId="NormalWeb">
    <w:name w:val="Normal (Web)"/>
    <w:basedOn w:val="Normal"/>
    <w:uiPriority w:val="99"/>
    <w:unhideWhenUsed/>
    <w:rsid w:val="009E2955"/>
    <w:pPr>
      <w:spacing w:before="100" w:beforeAutospacing="1" w:after="100" w:afterAutospacing="1"/>
    </w:pPr>
  </w:style>
  <w:style w:type="paragraph" w:customStyle="1" w:styleId="pprag2-notoc">
    <w:name w:val="pprag2 - no toc"/>
    <w:basedOn w:val="Titre3"/>
    <w:qFormat/>
    <w:rsid w:val="009E2955"/>
    <w:pPr>
      <w:keepLines w:val="0"/>
      <w:tabs>
        <w:tab w:val="num" w:pos="360"/>
      </w:tabs>
      <w:spacing w:before="0" w:after="60" w:line="360" w:lineRule="auto"/>
      <w:ind w:left="1440" w:hanging="360"/>
    </w:pPr>
    <w:rPr>
      <w:rFonts w:eastAsia="Times New Roman" w:cs="Times New Roman"/>
      <w:b/>
      <w:bCs/>
      <w:color w:val="auto"/>
      <w:sz w:val="24"/>
      <w:szCs w:val="26"/>
      <w:lang w:eastAsia="en-GB"/>
    </w:rPr>
  </w:style>
  <w:style w:type="paragraph" w:customStyle="1" w:styleId="Heading4a">
    <w:name w:val="Heading 4a"/>
    <w:basedOn w:val="Titre4"/>
    <w:link w:val="Heading4aChar"/>
    <w:qFormat/>
    <w:rsid w:val="009E2955"/>
    <w:pPr>
      <w:keepLines w:val="0"/>
      <w:tabs>
        <w:tab w:val="left" w:pos="284"/>
      </w:tabs>
      <w:spacing w:before="0" w:after="60" w:line="360" w:lineRule="auto"/>
      <w:jc w:val="both"/>
    </w:pPr>
    <w:rPr>
      <w:rFonts w:eastAsia="Times New Roman" w:cs="Times New Roman"/>
      <w:b/>
      <w:i w:val="0"/>
      <w:iCs w:val="0"/>
      <w:color w:val="auto"/>
      <w:szCs w:val="26"/>
      <w:lang w:eastAsia="en-GB"/>
    </w:rPr>
  </w:style>
  <w:style w:type="character" w:customStyle="1" w:styleId="Heading4aChar">
    <w:name w:val="Heading 4a Char"/>
    <w:link w:val="Heading4a"/>
    <w:rsid w:val="009E2955"/>
    <w:rPr>
      <w:rFonts w:ascii="Times New Roman" w:eastAsia="Times New Roman" w:hAnsi="Times New Roman" w:cs="Times New Roman"/>
      <w:b/>
      <w:kern w:val="0"/>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mdp.direction.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1088</Words>
  <Characters>5986</Characters>
  <Application>Microsoft Office Word</Application>
  <DocSecurity>0</DocSecurity>
  <Lines>49</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2026-04-30T10:51:00Z</dcterms:created>
  <dcterms:modified xsi:type="dcterms:W3CDTF">2026-04-30T10:54:00Z</dcterms:modified>
</cp:coreProperties>
</file>