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5CD0" w14:textId="6A11D222" w:rsidR="00992B56" w:rsidRPr="000F62A3" w:rsidRDefault="000F62A3" w:rsidP="00992B56">
      <w:pPr>
        <w:rPr>
          <w:lang w:val="fr-CA"/>
        </w:rPr>
      </w:pPr>
      <w:r w:rsidRPr="000F62A3">
        <w:rPr>
          <w:noProof/>
          <w:lang w:val="fr-CA"/>
        </w:rPr>
        <w:drawing>
          <wp:inline distT="0" distB="0" distL="0" distR="0" wp14:anchorId="64ED6530" wp14:editId="0CF712E2">
            <wp:extent cx="1358900" cy="594204"/>
            <wp:effectExtent l="0" t="0" r="0" b="0"/>
            <wp:docPr id="929807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923" cy="59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6BE9" w14:textId="1E073C84" w:rsidR="006E2B39" w:rsidRPr="00F84544" w:rsidRDefault="00992B56" w:rsidP="00F84544">
      <w:pPr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sz w:val="20"/>
          <w:szCs w:val="20"/>
          <w:lang w:val="fr-CA"/>
        </w:rPr>
        <w:t>Termes de référence (</w:t>
      </w:r>
      <w:r>
        <w:rPr>
          <w:rFonts w:ascii="Arial" w:hAnsi="Arial" w:cs="Arial"/>
          <w:b/>
          <w:bCs/>
          <w:sz w:val="20"/>
          <w:szCs w:val="20"/>
          <w:lang w:val="fr-CA"/>
        </w:rPr>
        <w:t>TDR</w:t>
      </w:r>
      <w:r w:rsidRPr="00F84544">
        <w:rPr>
          <w:rFonts w:ascii="Arial" w:hAnsi="Arial" w:cs="Arial"/>
          <w:b/>
          <w:bCs/>
          <w:sz w:val="20"/>
          <w:szCs w:val="20"/>
          <w:lang w:val="fr-CA"/>
        </w:rPr>
        <w:t>)</w:t>
      </w:r>
    </w:p>
    <w:p w14:paraId="6B9473E7" w14:textId="7BB803FE" w:rsidR="006E2B39" w:rsidRPr="00F84544" w:rsidRDefault="00992B56" w:rsidP="00F84544">
      <w:pPr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sz w:val="20"/>
          <w:szCs w:val="20"/>
          <w:lang w:val="fr-CA"/>
        </w:rPr>
        <w:t>CARTOGRAPHIE ET ÉVALUATION DES FOURNISSEURS D’APPUI AUX COOPÉRATIVES</w:t>
      </w:r>
    </w:p>
    <w:p w14:paraId="392F4FD7" w14:textId="77777777" w:rsidR="006E2B39" w:rsidRPr="00F84544" w:rsidRDefault="0004688A" w:rsidP="00F84544">
      <w:pPr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sz w:val="20"/>
          <w:szCs w:val="20"/>
          <w:lang w:val="fr-CA"/>
        </w:rPr>
        <w:t>Régions : Drâa-Tafilalet, Marrakech-Safi, Guelmim-Oued Noun</w:t>
      </w:r>
    </w:p>
    <w:p w14:paraId="6716CCBC" w14:textId="77777777" w:rsidR="006E2B39" w:rsidRDefault="006E2B39">
      <w:pPr>
        <w:rPr>
          <w:rFonts w:ascii="Arial" w:hAnsi="Arial" w:cs="Arial"/>
          <w:sz w:val="20"/>
          <w:szCs w:val="20"/>
          <w:lang w:val="fr-CA"/>
        </w:rPr>
      </w:pPr>
    </w:p>
    <w:p w14:paraId="635F5857" w14:textId="37792DBA" w:rsidR="0060519B" w:rsidRPr="00651B0A" w:rsidRDefault="00651B0A" w:rsidP="00B8011C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51B0A">
        <w:rPr>
          <w:rFonts w:ascii="Arial" w:hAnsi="Arial" w:cs="Arial"/>
          <w:sz w:val="20"/>
          <w:szCs w:val="20"/>
          <w:lang w:val="fr-CA"/>
        </w:rPr>
        <w:t>Le projet Raidates, mis en œuvre par Développement international Desjardins (DID)</w:t>
      </w:r>
      <w:r w:rsidR="001B5949">
        <w:rPr>
          <w:rFonts w:ascii="Arial" w:hAnsi="Arial" w:cs="Arial"/>
          <w:sz w:val="20"/>
          <w:szCs w:val="20"/>
          <w:lang w:val="fr-CA"/>
        </w:rPr>
        <w:t xml:space="preserve"> et</w:t>
      </w:r>
      <w:r w:rsidRPr="00651B0A">
        <w:rPr>
          <w:rFonts w:ascii="Arial" w:hAnsi="Arial" w:cs="Arial"/>
          <w:sz w:val="20"/>
          <w:szCs w:val="20"/>
          <w:lang w:val="fr-CA"/>
        </w:rPr>
        <w:t xml:space="preserve"> la Fondation OCP, avec le s</w:t>
      </w:r>
      <w:r>
        <w:rPr>
          <w:rFonts w:ascii="Arial" w:hAnsi="Arial" w:cs="Arial"/>
          <w:sz w:val="20"/>
          <w:szCs w:val="20"/>
          <w:lang w:val="fr-CA"/>
        </w:rPr>
        <w:t>outien</w:t>
      </w:r>
      <w:r w:rsidRPr="00651B0A">
        <w:rPr>
          <w:rFonts w:ascii="Arial" w:hAnsi="Arial" w:cs="Arial"/>
          <w:sz w:val="20"/>
          <w:szCs w:val="20"/>
          <w:lang w:val="fr-CA"/>
        </w:rPr>
        <w:t xml:space="preserve"> d’Affaires mondiales Canada (AMC)</w:t>
      </w:r>
      <w:r w:rsidR="001B5949">
        <w:rPr>
          <w:rFonts w:ascii="Arial" w:hAnsi="Arial" w:cs="Arial"/>
          <w:sz w:val="20"/>
          <w:szCs w:val="20"/>
          <w:lang w:val="fr-CA"/>
        </w:rPr>
        <w:t>, sous le couvert du</w:t>
      </w:r>
      <w:r w:rsidRPr="00651B0A">
        <w:rPr>
          <w:rFonts w:ascii="Arial" w:hAnsi="Arial" w:cs="Arial"/>
          <w:sz w:val="20"/>
          <w:szCs w:val="20"/>
          <w:lang w:val="fr-CA"/>
        </w:rPr>
        <w:t xml:space="preserve"> </w:t>
      </w:r>
      <w:r w:rsidR="001B5949" w:rsidRPr="00651B0A">
        <w:rPr>
          <w:rFonts w:ascii="Arial" w:hAnsi="Arial" w:cs="Arial"/>
          <w:sz w:val="20"/>
          <w:szCs w:val="20"/>
          <w:lang w:val="fr-CA"/>
        </w:rPr>
        <w:t>Secrétariat d’</w:t>
      </w:r>
      <w:r w:rsidR="00B8011C">
        <w:rPr>
          <w:rFonts w:ascii="Arial" w:hAnsi="Arial" w:cs="Arial"/>
          <w:sz w:val="20"/>
          <w:szCs w:val="20"/>
          <w:lang w:val="fr-CA"/>
        </w:rPr>
        <w:t>É</w:t>
      </w:r>
      <w:r w:rsidR="001B5949" w:rsidRPr="00651B0A">
        <w:rPr>
          <w:rFonts w:ascii="Arial" w:hAnsi="Arial" w:cs="Arial"/>
          <w:sz w:val="20"/>
          <w:szCs w:val="20"/>
          <w:lang w:val="fr-CA"/>
        </w:rPr>
        <w:t>tat en charge de l’artisanat et l’Économie Sociale et Solidaire</w:t>
      </w:r>
      <w:r w:rsidR="001B5949">
        <w:rPr>
          <w:rFonts w:ascii="Arial" w:hAnsi="Arial" w:cs="Arial"/>
          <w:sz w:val="20"/>
          <w:szCs w:val="20"/>
          <w:lang w:val="fr-CA"/>
        </w:rPr>
        <w:t xml:space="preserve"> (SEAESS)</w:t>
      </w:r>
      <w:r w:rsidR="001B5949" w:rsidRPr="00651B0A">
        <w:rPr>
          <w:rFonts w:ascii="Arial" w:hAnsi="Arial" w:cs="Arial"/>
          <w:sz w:val="20"/>
          <w:szCs w:val="20"/>
          <w:lang w:val="fr-CA"/>
        </w:rPr>
        <w:t xml:space="preserve"> </w:t>
      </w:r>
      <w:r w:rsidRPr="00651B0A">
        <w:rPr>
          <w:rFonts w:ascii="Arial" w:hAnsi="Arial" w:cs="Arial"/>
          <w:sz w:val="20"/>
          <w:szCs w:val="20"/>
          <w:lang w:val="fr-CA"/>
        </w:rPr>
        <w:t xml:space="preserve">vise à renforcer l’autonomisation économique de </w:t>
      </w:r>
      <w:r w:rsidR="00B8011C">
        <w:rPr>
          <w:rFonts w:ascii="Arial" w:hAnsi="Arial" w:cs="Arial"/>
          <w:sz w:val="20"/>
          <w:szCs w:val="20"/>
          <w:lang w:val="fr-CA"/>
        </w:rPr>
        <w:t xml:space="preserve">5 </w:t>
      </w:r>
      <w:r w:rsidRPr="00651B0A">
        <w:rPr>
          <w:rFonts w:ascii="Arial" w:hAnsi="Arial" w:cs="Arial"/>
          <w:sz w:val="20"/>
          <w:szCs w:val="20"/>
          <w:lang w:val="fr-CA"/>
        </w:rPr>
        <w:t>000 femmes membres de 120 coopératives féminines opérant dans des chaînes de valeur à fort potentiel de rentabilité et d’adaptation aux changements climatiques dans trois régions du Maroc :-- Drâa-Tafilalet</w:t>
      </w:r>
      <w:r w:rsidR="00B8011C">
        <w:rPr>
          <w:rFonts w:ascii="Arial" w:hAnsi="Arial" w:cs="Arial"/>
          <w:sz w:val="20"/>
          <w:szCs w:val="20"/>
          <w:lang w:val="fr-CA"/>
        </w:rPr>
        <w:t>,</w:t>
      </w:r>
      <w:r w:rsidRPr="00651B0A">
        <w:rPr>
          <w:rFonts w:ascii="Arial" w:hAnsi="Arial" w:cs="Arial"/>
          <w:sz w:val="20"/>
          <w:szCs w:val="20"/>
          <w:lang w:val="fr-CA"/>
        </w:rPr>
        <w:t xml:space="preserve"> Marrakech-Safi Guelmim-Oued Noun</w:t>
      </w:r>
      <w:r w:rsidR="00B8011C">
        <w:rPr>
          <w:rFonts w:ascii="Arial" w:hAnsi="Arial" w:cs="Arial"/>
          <w:sz w:val="20"/>
          <w:szCs w:val="20"/>
          <w:lang w:val="fr-CA"/>
        </w:rPr>
        <w:t>.</w:t>
      </w:r>
      <w:r w:rsidRPr="00651B0A">
        <w:rPr>
          <w:rFonts w:ascii="Arial" w:hAnsi="Arial" w:cs="Arial"/>
          <w:sz w:val="20"/>
          <w:szCs w:val="20"/>
          <w:lang w:val="fr-CA"/>
        </w:rPr>
        <w:t xml:space="preserve"> Le projet offre un parcours entrepreneurial modulaire et personnalisé, des formations, du coaching, un accompagnement technique et en commercialisation, un appui à l’accès au financement, ainsi qu’un soutien pour l’adoption de pratiques innovantes d’adaptation aux changements climatiques</w:t>
      </w:r>
      <w:r w:rsidR="00B8011C">
        <w:rPr>
          <w:rFonts w:ascii="Arial" w:hAnsi="Arial" w:cs="Arial"/>
          <w:sz w:val="20"/>
          <w:szCs w:val="20"/>
          <w:lang w:val="fr-CA"/>
        </w:rPr>
        <w:t>.</w:t>
      </w:r>
    </w:p>
    <w:p w14:paraId="70B93C22" w14:textId="77777777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1. Contexte et justification</w:t>
      </w:r>
    </w:p>
    <w:p w14:paraId="0543C5A7" w14:textId="77777777" w:rsidR="00345220" w:rsidRDefault="0004688A" w:rsidP="00F84544">
      <w:pPr>
        <w:jc w:val="both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 xml:space="preserve">Dans le cadre du projet </w:t>
      </w:r>
      <w:r w:rsidRPr="00F84544">
        <w:rPr>
          <w:rFonts w:ascii="Arial" w:hAnsi="Arial" w:cs="Arial"/>
          <w:i/>
          <w:iCs/>
          <w:sz w:val="20"/>
          <w:szCs w:val="20"/>
          <w:lang w:val="fr-CA"/>
        </w:rPr>
        <w:t>R</w:t>
      </w:r>
      <w:r w:rsidR="00F84544" w:rsidRPr="00F84544">
        <w:rPr>
          <w:rFonts w:ascii="Arial" w:hAnsi="Arial" w:cs="Arial"/>
          <w:i/>
          <w:iCs/>
          <w:sz w:val="20"/>
          <w:szCs w:val="20"/>
          <w:lang w:val="fr-CA"/>
        </w:rPr>
        <w:t>aidates</w:t>
      </w:r>
      <w:r w:rsidRPr="00F84544">
        <w:rPr>
          <w:rFonts w:ascii="Arial" w:hAnsi="Arial" w:cs="Arial"/>
          <w:sz w:val="20"/>
          <w:szCs w:val="20"/>
          <w:lang w:val="fr-CA"/>
        </w:rPr>
        <w:t xml:space="preserve">, il est </w:t>
      </w:r>
      <w:r w:rsidR="00E360BE">
        <w:rPr>
          <w:rFonts w:ascii="Arial" w:hAnsi="Arial" w:cs="Arial"/>
          <w:sz w:val="20"/>
          <w:szCs w:val="20"/>
          <w:lang w:val="fr-CA"/>
        </w:rPr>
        <w:t>prévu</w:t>
      </w:r>
      <w:r w:rsidRPr="00F84544">
        <w:rPr>
          <w:rFonts w:ascii="Arial" w:hAnsi="Arial" w:cs="Arial"/>
          <w:sz w:val="20"/>
          <w:szCs w:val="20"/>
          <w:lang w:val="fr-CA"/>
        </w:rPr>
        <w:t xml:space="preserve"> de réaliser une cartographie exhaustive et une évaluation des fournisseurs d’appui aux coopératives féminines dans </w:t>
      </w:r>
      <w:r w:rsidR="00F84544" w:rsidRPr="00F84544">
        <w:rPr>
          <w:rFonts w:ascii="Arial" w:hAnsi="Arial" w:cs="Arial"/>
          <w:sz w:val="20"/>
          <w:szCs w:val="20"/>
          <w:lang w:val="fr-CA"/>
        </w:rPr>
        <w:t xml:space="preserve">les </w:t>
      </w:r>
      <w:r w:rsidRPr="00F84544">
        <w:rPr>
          <w:rFonts w:ascii="Arial" w:hAnsi="Arial" w:cs="Arial"/>
          <w:sz w:val="20"/>
          <w:szCs w:val="20"/>
          <w:lang w:val="fr-CA"/>
        </w:rPr>
        <w:t>trois régions</w:t>
      </w:r>
      <w:r w:rsidR="00F84544" w:rsidRPr="00F84544">
        <w:rPr>
          <w:rFonts w:ascii="Arial" w:hAnsi="Arial" w:cs="Arial"/>
          <w:sz w:val="20"/>
          <w:szCs w:val="20"/>
          <w:lang w:val="fr-CA"/>
        </w:rPr>
        <w:t>-cibles du projet</w:t>
      </w:r>
      <w:r w:rsidRPr="00F84544">
        <w:rPr>
          <w:rFonts w:ascii="Arial" w:hAnsi="Arial" w:cs="Arial"/>
          <w:sz w:val="20"/>
          <w:szCs w:val="20"/>
          <w:lang w:val="fr-CA"/>
        </w:rPr>
        <w:t>.</w:t>
      </w:r>
      <w:r w:rsidR="008939F8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0D44DD84" w14:textId="6E4054D2" w:rsidR="006E2B39" w:rsidRPr="00F84544" w:rsidRDefault="008939F8" w:rsidP="00F84544">
      <w:pPr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HEC-Montréal</w:t>
      </w:r>
      <w:r w:rsidR="005C6B3F">
        <w:rPr>
          <w:rFonts w:ascii="Arial" w:hAnsi="Arial" w:cs="Arial"/>
          <w:sz w:val="20"/>
          <w:szCs w:val="20"/>
          <w:lang w:val="fr-CA"/>
        </w:rPr>
        <w:t>,</w:t>
      </w:r>
      <w:r>
        <w:rPr>
          <w:rFonts w:ascii="Arial" w:hAnsi="Arial" w:cs="Arial"/>
          <w:sz w:val="20"/>
          <w:szCs w:val="20"/>
          <w:lang w:val="fr-CA"/>
        </w:rPr>
        <w:t xml:space="preserve"> un partenaire du projet Raidates, </w:t>
      </w:r>
      <w:r w:rsidR="005C6B3F">
        <w:rPr>
          <w:rFonts w:ascii="Arial" w:hAnsi="Arial" w:cs="Arial"/>
          <w:sz w:val="20"/>
          <w:szCs w:val="20"/>
          <w:lang w:val="fr-CA"/>
        </w:rPr>
        <w:t>sera</w:t>
      </w:r>
      <w:r>
        <w:rPr>
          <w:rFonts w:ascii="Arial" w:hAnsi="Arial" w:cs="Arial"/>
          <w:sz w:val="20"/>
          <w:szCs w:val="20"/>
          <w:lang w:val="fr-CA"/>
        </w:rPr>
        <w:t xml:space="preserve"> responsables de définir la méthodologie et </w:t>
      </w:r>
      <w:r w:rsidR="00A70993">
        <w:rPr>
          <w:rFonts w:ascii="Arial" w:hAnsi="Arial" w:cs="Arial"/>
          <w:sz w:val="20"/>
          <w:szCs w:val="20"/>
          <w:lang w:val="fr-CA"/>
        </w:rPr>
        <w:t>d</w:t>
      </w:r>
      <w:r w:rsidR="00345220">
        <w:rPr>
          <w:rFonts w:ascii="Arial" w:hAnsi="Arial" w:cs="Arial"/>
          <w:sz w:val="20"/>
          <w:szCs w:val="20"/>
          <w:lang w:val="fr-CA"/>
        </w:rPr>
        <w:t>’apporter son support a</w:t>
      </w:r>
      <w:r w:rsidR="000C3879">
        <w:rPr>
          <w:rFonts w:ascii="Arial" w:hAnsi="Arial" w:cs="Arial"/>
          <w:sz w:val="20"/>
          <w:szCs w:val="20"/>
          <w:lang w:val="fr-CA"/>
        </w:rPr>
        <w:t>u prestataire qui sera retenu dans le cadre du pré</w:t>
      </w:r>
      <w:r w:rsidR="005F0C39">
        <w:rPr>
          <w:rFonts w:ascii="Arial" w:hAnsi="Arial" w:cs="Arial"/>
          <w:sz w:val="20"/>
          <w:szCs w:val="20"/>
          <w:lang w:val="fr-CA"/>
        </w:rPr>
        <w:t xml:space="preserve">sent TDR. Le prestataire, quant à lui, collaborera avec HEC-Montréal afin de s’assurer que la méthodologie est adaptée au contexte marocain et tient compte des spécificités </w:t>
      </w:r>
      <w:r w:rsidR="005E1421">
        <w:rPr>
          <w:rFonts w:ascii="Arial" w:hAnsi="Arial" w:cs="Arial"/>
          <w:sz w:val="20"/>
          <w:szCs w:val="20"/>
          <w:lang w:val="fr-CA"/>
        </w:rPr>
        <w:t xml:space="preserve">du pays, réalisera </w:t>
      </w:r>
      <w:r w:rsidR="006944D4">
        <w:rPr>
          <w:rFonts w:ascii="Arial" w:hAnsi="Arial" w:cs="Arial"/>
          <w:sz w:val="20"/>
          <w:szCs w:val="20"/>
          <w:lang w:val="fr-CA"/>
        </w:rPr>
        <w:t>le travail dans les 3 régions</w:t>
      </w:r>
      <w:r w:rsidR="003B15E8">
        <w:rPr>
          <w:rFonts w:ascii="Arial" w:hAnsi="Arial" w:cs="Arial"/>
          <w:sz w:val="20"/>
          <w:szCs w:val="20"/>
          <w:lang w:val="fr-CA"/>
        </w:rPr>
        <w:t xml:space="preserve"> (voir 4-Méthodologie)</w:t>
      </w:r>
      <w:r w:rsidR="006944D4">
        <w:rPr>
          <w:rFonts w:ascii="Arial" w:hAnsi="Arial" w:cs="Arial"/>
          <w:sz w:val="20"/>
          <w:szCs w:val="20"/>
          <w:lang w:val="fr-CA"/>
        </w:rPr>
        <w:t xml:space="preserve">, et produira </w:t>
      </w:r>
      <w:r w:rsidR="002D16E4">
        <w:rPr>
          <w:rFonts w:ascii="Arial" w:hAnsi="Arial" w:cs="Arial"/>
          <w:sz w:val="20"/>
          <w:szCs w:val="20"/>
          <w:lang w:val="fr-CA"/>
        </w:rPr>
        <w:t xml:space="preserve">les informations et analyses requises (voir 5-Livrables attendus). </w:t>
      </w:r>
    </w:p>
    <w:p w14:paraId="6BC2D483" w14:textId="77777777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2. Objectifs de la mission</w:t>
      </w:r>
    </w:p>
    <w:p w14:paraId="2C5F9935" w14:textId="12A3838A" w:rsidR="006E2B39" w:rsidRPr="00F84544" w:rsidRDefault="0004688A" w:rsidP="00F84544">
      <w:pPr>
        <w:jc w:val="both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Objectif général : Produire une cartographie structurée et une évaluation des acteurs publics, privés et associatifs offrant des services d’appui aux coopératives</w:t>
      </w:r>
      <w:r w:rsidR="00F84544" w:rsidRPr="00F84544">
        <w:rPr>
          <w:rFonts w:ascii="Arial" w:hAnsi="Arial" w:cs="Arial"/>
          <w:sz w:val="20"/>
          <w:szCs w:val="20"/>
          <w:lang w:val="fr-CA"/>
        </w:rPr>
        <w:t xml:space="preserve"> féminines.</w:t>
      </w:r>
    </w:p>
    <w:p w14:paraId="6A854438" w14:textId="77777777" w:rsidR="006E2B39" w:rsidRPr="00F84544" w:rsidRDefault="0004688A" w:rsidP="00F84544">
      <w:pPr>
        <w:jc w:val="both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Objectifs spécifiques :</w:t>
      </w:r>
    </w:p>
    <w:p w14:paraId="1596FA81" w14:textId="77777777" w:rsidR="006E2B39" w:rsidRPr="00F84544" w:rsidRDefault="0004688A" w:rsidP="00F8454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Recenser et classifier les fournisseurs de services d’appui.</w:t>
      </w:r>
    </w:p>
    <w:p w14:paraId="5C14D864" w14:textId="77777777" w:rsidR="006E2B39" w:rsidRPr="00F84544" w:rsidRDefault="0004688A" w:rsidP="00F8454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Caractériser l’offre disponible et les services offerts.</w:t>
      </w:r>
    </w:p>
    <w:p w14:paraId="26BE50A4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Évaluer les capacités des prestataires.</w:t>
      </w:r>
    </w:p>
    <w:p w14:paraId="211E5208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Identifier les lacunes et opportunités de partenariat.</w:t>
      </w:r>
    </w:p>
    <w:p w14:paraId="233DB149" w14:textId="77777777" w:rsidR="006E2B39" w:rsidRPr="00F84544" w:rsidRDefault="0004688A">
      <w:pPr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Produire des recommandations opérationnelles.</w:t>
      </w:r>
    </w:p>
    <w:p w14:paraId="3AE75A82" w14:textId="77777777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lastRenderedPageBreak/>
        <w:t>3. Portée géographique</w:t>
      </w:r>
    </w:p>
    <w:p w14:paraId="5887FFF2" w14:textId="77777777" w:rsidR="006E2B39" w:rsidRPr="00F84544" w:rsidRDefault="0004688A">
      <w:pPr>
        <w:rPr>
          <w:rFonts w:ascii="Arial" w:hAnsi="Arial" w:cs="Arial"/>
          <w:sz w:val="20"/>
          <w:szCs w:val="20"/>
        </w:rPr>
      </w:pPr>
      <w:r w:rsidRPr="00F84544">
        <w:rPr>
          <w:rFonts w:ascii="Arial" w:hAnsi="Arial" w:cs="Arial"/>
          <w:sz w:val="20"/>
          <w:szCs w:val="20"/>
        </w:rPr>
        <w:t>Drâa-Tafilalet, Marrakech-Safi, Guelmim-Oued Noun.</w:t>
      </w:r>
    </w:p>
    <w:p w14:paraId="74675A9B" w14:textId="77777777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4. Méthodologie</w:t>
      </w:r>
    </w:p>
    <w:p w14:paraId="3C0BE3D2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Revue documentaire.</w:t>
      </w:r>
    </w:p>
    <w:p w14:paraId="2F2FBE57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Entretiens semi-directifs.</w:t>
      </w:r>
    </w:p>
    <w:p w14:paraId="55A5DB48" w14:textId="648D896C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 xml:space="preserve">- Focus groups avec </w:t>
      </w:r>
      <w:r w:rsidR="00992B56">
        <w:rPr>
          <w:rFonts w:ascii="Arial" w:hAnsi="Arial" w:cs="Arial"/>
          <w:sz w:val="20"/>
          <w:szCs w:val="20"/>
          <w:lang w:val="fr-CA"/>
        </w:rPr>
        <w:t xml:space="preserve">des </w:t>
      </w:r>
      <w:r w:rsidRPr="00F84544">
        <w:rPr>
          <w:rFonts w:ascii="Arial" w:hAnsi="Arial" w:cs="Arial"/>
          <w:sz w:val="20"/>
          <w:szCs w:val="20"/>
          <w:lang w:val="fr-CA"/>
        </w:rPr>
        <w:t>coopératives</w:t>
      </w:r>
      <w:r w:rsidR="00992B56">
        <w:rPr>
          <w:rFonts w:ascii="Arial" w:hAnsi="Arial" w:cs="Arial"/>
          <w:sz w:val="20"/>
          <w:szCs w:val="20"/>
          <w:lang w:val="fr-CA"/>
        </w:rPr>
        <w:t xml:space="preserve"> féminines</w:t>
      </w:r>
      <w:r w:rsidRPr="00F84544">
        <w:rPr>
          <w:rFonts w:ascii="Arial" w:hAnsi="Arial" w:cs="Arial"/>
          <w:sz w:val="20"/>
          <w:szCs w:val="20"/>
          <w:lang w:val="fr-CA"/>
        </w:rPr>
        <w:t>.</w:t>
      </w:r>
    </w:p>
    <w:p w14:paraId="56DA4487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Élaboration d’une base de données.</w:t>
      </w:r>
    </w:p>
    <w:p w14:paraId="0E83D40D" w14:textId="77777777" w:rsidR="006E2B39" w:rsidRPr="00F84544" w:rsidRDefault="0004688A" w:rsidP="003327CA">
      <w:pPr>
        <w:keepNext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Matrice d’évaluation.</w:t>
      </w:r>
    </w:p>
    <w:p w14:paraId="726AA480" w14:textId="77777777" w:rsidR="006E2B39" w:rsidRPr="00F84544" w:rsidRDefault="0004688A" w:rsidP="003327CA">
      <w:pPr>
        <w:keepNext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Validation régionale.</w:t>
      </w:r>
    </w:p>
    <w:p w14:paraId="29616661" w14:textId="77777777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5. Livrables attendus</w:t>
      </w:r>
    </w:p>
    <w:p w14:paraId="18A156EE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Note de démarrage.</w:t>
      </w:r>
    </w:p>
    <w:p w14:paraId="0090B976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Base de données (xlsx).</w:t>
      </w:r>
    </w:p>
    <w:p w14:paraId="4B27A4E8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Rapport de cartographie.</w:t>
      </w:r>
    </w:p>
    <w:p w14:paraId="4AEE253C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Rapport d’évaluation.</w:t>
      </w:r>
    </w:p>
    <w:p w14:paraId="2D1742A5" w14:textId="06E1EFBD" w:rsidR="006E2B39" w:rsidRPr="00F84544" w:rsidRDefault="0004688A" w:rsidP="00F84544">
      <w:pPr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Recommandations de partenaria</w:t>
      </w:r>
      <w:r w:rsidR="00F84544" w:rsidRPr="00F84544">
        <w:rPr>
          <w:rFonts w:ascii="Arial" w:hAnsi="Arial" w:cs="Arial"/>
          <w:sz w:val="20"/>
          <w:szCs w:val="20"/>
          <w:lang w:val="fr-CA"/>
        </w:rPr>
        <w:t>ts</w:t>
      </w:r>
      <w:r w:rsidRPr="00F84544">
        <w:rPr>
          <w:rFonts w:ascii="Arial" w:hAnsi="Arial" w:cs="Arial"/>
          <w:sz w:val="20"/>
          <w:szCs w:val="20"/>
          <w:lang w:val="fr-CA"/>
        </w:rPr>
        <w:t>.</w:t>
      </w:r>
    </w:p>
    <w:p w14:paraId="5858D49A" w14:textId="4C3BCFA6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6. Calendrier</w:t>
      </w:r>
    </w:p>
    <w:p w14:paraId="62E0EEA3" w14:textId="77777777" w:rsidR="006E2B39" w:rsidRPr="00F84544" w:rsidRDefault="0004688A">
      <w:pPr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Durée estimée : 8 à 10 semaines.</w:t>
      </w:r>
    </w:p>
    <w:p w14:paraId="455D6948" w14:textId="5ED0CC97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 xml:space="preserve">7. Profil du </w:t>
      </w:r>
      <w:r w:rsidR="00F84544"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 xml:space="preserve">ou des </w:t>
      </w: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consultant</w:t>
      </w:r>
      <w:r w:rsidR="00F84544"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(s)</w:t>
      </w:r>
    </w:p>
    <w:p w14:paraId="2B9CD403" w14:textId="564051D6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 xml:space="preserve">- 7 ans d’expérience dans l’ESS ou </w:t>
      </w:r>
      <w:r w:rsidR="00F84544" w:rsidRPr="00F84544">
        <w:rPr>
          <w:rFonts w:ascii="Arial" w:hAnsi="Arial" w:cs="Arial"/>
          <w:sz w:val="20"/>
          <w:szCs w:val="20"/>
          <w:lang w:val="fr-CA"/>
        </w:rPr>
        <w:t xml:space="preserve">le </w:t>
      </w:r>
      <w:r w:rsidRPr="00F84544">
        <w:rPr>
          <w:rFonts w:ascii="Arial" w:hAnsi="Arial" w:cs="Arial"/>
          <w:sz w:val="20"/>
          <w:szCs w:val="20"/>
          <w:lang w:val="fr-CA"/>
        </w:rPr>
        <w:t>développement coopératif.</w:t>
      </w:r>
    </w:p>
    <w:p w14:paraId="3A7E3D4C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Expérience en enquêtes qualitatives.</w:t>
      </w:r>
    </w:p>
    <w:p w14:paraId="18026E05" w14:textId="77777777" w:rsidR="006E2B39" w:rsidRPr="00F84544" w:rsidRDefault="0004688A" w:rsidP="00F84544">
      <w:pPr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Connaissance des régions ciblées.</w:t>
      </w:r>
    </w:p>
    <w:p w14:paraId="25EEAB20" w14:textId="77777777" w:rsidR="006E2B39" w:rsidRPr="00F84544" w:rsidRDefault="0004688A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8. Exigences de soumission</w:t>
      </w:r>
    </w:p>
    <w:p w14:paraId="5027B853" w14:textId="7777777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Note méthodologique.</w:t>
      </w:r>
    </w:p>
    <w:p w14:paraId="1ED72FDB" w14:textId="41C36837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Plan de travail</w:t>
      </w:r>
      <w:r w:rsidR="00F84544" w:rsidRPr="00F84544">
        <w:rPr>
          <w:rFonts w:ascii="Arial" w:hAnsi="Arial" w:cs="Arial"/>
          <w:sz w:val="20"/>
          <w:szCs w:val="20"/>
          <w:lang w:val="fr-CA"/>
        </w:rPr>
        <w:t>, incluant un calendrier détaillé</w:t>
      </w:r>
      <w:r w:rsidR="00C4109F">
        <w:rPr>
          <w:rFonts w:ascii="Arial" w:hAnsi="Arial" w:cs="Arial"/>
          <w:sz w:val="20"/>
          <w:szCs w:val="20"/>
          <w:lang w:val="fr-CA"/>
        </w:rPr>
        <w:t>.</w:t>
      </w:r>
    </w:p>
    <w:p w14:paraId="4053A705" w14:textId="48BF004A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CV</w:t>
      </w:r>
      <w:r w:rsidR="00F84544" w:rsidRPr="00F84544">
        <w:rPr>
          <w:rFonts w:ascii="Arial" w:hAnsi="Arial" w:cs="Arial"/>
          <w:sz w:val="20"/>
          <w:szCs w:val="20"/>
          <w:lang w:val="fr-CA"/>
        </w:rPr>
        <w:t xml:space="preserve"> du ou des consultant(s)</w:t>
      </w:r>
      <w:r w:rsidRPr="00F84544">
        <w:rPr>
          <w:rFonts w:ascii="Arial" w:hAnsi="Arial" w:cs="Arial"/>
          <w:sz w:val="20"/>
          <w:szCs w:val="20"/>
          <w:lang w:val="fr-CA"/>
        </w:rPr>
        <w:t>.</w:t>
      </w:r>
    </w:p>
    <w:p w14:paraId="643B4913" w14:textId="177997D1" w:rsidR="006E2B39" w:rsidRPr="00F84544" w:rsidRDefault="0004688A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Références</w:t>
      </w:r>
      <w:r w:rsidR="00F84544" w:rsidRPr="00F84544">
        <w:rPr>
          <w:rFonts w:ascii="Arial" w:hAnsi="Arial" w:cs="Arial"/>
          <w:sz w:val="20"/>
          <w:szCs w:val="20"/>
          <w:lang w:val="fr-CA"/>
        </w:rPr>
        <w:t xml:space="preserve"> de travaux similaires.</w:t>
      </w:r>
    </w:p>
    <w:p w14:paraId="359FE455" w14:textId="6015D5BD" w:rsidR="006E2B39" w:rsidRDefault="0004688A" w:rsidP="005D5923">
      <w:pPr>
        <w:rPr>
          <w:rFonts w:ascii="Arial" w:hAnsi="Arial" w:cs="Arial"/>
          <w:sz w:val="20"/>
          <w:szCs w:val="20"/>
          <w:lang w:val="fr-CA"/>
        </w:rPr>
      </w:pPr>
      <w:r w:rsidRPr="00F84544">
        <w:rPr>
          <w:rFonts w:ascii="Arial" w:hAnsi="Arial" w:cs="Arial"/>
          <w:sz w:val="20"/>
          <w:szCs w:val="20"/>
          <w:lang w:val="fr-CA"/>
        </w:rPr>
        <w:t>- Offre financière</w:t>
      </w:r>
      <w:r w:rsidR="00992B56">
        <w:rPr>
          <w:rFonts w:ascii="Arial" w:hAnsi="Arial" w:cs="Arial"/>
          <w:sz w:val="20"/>
          <w:szCs w:val="20"/>
          <w:lang w:val="fr-CA"/>
        </w:rPr>
        <w:t xml:space="preserve"> détaillée, incluant les coûts unitaires et la nature des coûts. </w:t>
      </w:r>
    </w:p>
    <w:p w14:paraId="0E145030" w14:textId="64CD44CD" w:rsidR="005D5923" w:rsidRPr="00F84544" w:rsidRDefault="005D5923" w:rsidP="005D5923">
      <w:pPr>
        <w:rPr>
          <w:rFonts w:ascii="Arial" w:hAnsi="Arial" w:cs="Arial"/>
          <w:b/>
          <w:bCs/>
          <w:color w:val="009242"/>
          <w:sz w:val="20"/>
          <w:szCs w:val="20"/>
          <w:lang w:val="fr-CA"/>
        </w:rPr>
      </w:pPr>
      <w:r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9</w:t>
      </w: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 xml:space="preserve">. </w:t>
      </w:r>
      <w:r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>Date limite</w:t>
      </w:r>
      <w:r w:rsidRPr="00F84544">
        <w:rPr>
          <w:rFonts w:ascii="Arial" w:hAnsi="Arial" w:cs="Arial"/>
          <w:b/>
          <w:bCs/>
          <w:color w:val="009242"/>
          <w:sz w:val="20"/>
          <w:szCs w:val="20"/>
          <w:lang w:val="fr-CA"/>
        </w:rPr>
        <w:t xml:space="preserve"> de soumission</w:t>
      </w:r>
    </w:p>
    <w:p w14:paraId="3B0472EB" w14:textId="0F34EDA1" w:rsidR="00F04637" w:rsidRDefault="00F04637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Veuillez transmettre à l’attention de :  </w:t>
      </w:r>
      <w:hyperlink r:id="rId9" w:history="1">
        <w:r w:rsidR="00204198" w:rsidRPr="00F95601">
          <w:rPr>
            <w:rStyle w:val="Lienhypertexte"/>
            <w:rFonts w:ascii="Arial" w:hAnsi="Arial" w:cs="Arial"/>
            <w:sz w:val="20"/>
            <w:szCs w:val="20"/>
            <w:lang w:val="fr-CA"/>
          </w:rPr>
          <w:t>info@did-raidates.com</w:t>
        </w:r>
      </w:hyperlink>
    </w:p>
    <w:p w14:paraId="32B931A5" w14:textId="77777777" w:rsidR="00204198" w:rsidRDefault="00204198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1937DEA7" w14:textId="1F4296B4" w:rsidR="00204198" w:rsidRDefault="00204198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Date limite :  </w:t>
      </w:r>
      <w:r w:rsidR="009F7146">
        <w:rPr>
          <w:rFonts w:ascii="Arial" w:hAnsi="Arial" w:cs="Arial"/>
          <w:sz w:val="20"/>
          <w:szCs w:val="20"/>
          <w:lang w:val="fr-CA"/>
        </w:rPr>
        <w:t>8</w:t>
      </w:r>
      <w:r w:rsidR="00691FDF">
        <w:rPr>
          <w:rFonts w:ascii="Arial" w:hAnsi="Arial" w:cs="Arial"/>
          <w:sz w:val="20"/>
          <w:szCs w:val="20"/>
          <w:lang w:val="fr-CA"/>
        </w:rPr>
        <w:t xml:space="preserve"> mai</w:t>
      </w:r>
      <w:r w:rsidR="00FB670B">
        <w:rPr>
          <w:rFonts w:ascii="Arial" w:hAnsi="Arial" w:cs="Arial"/>
          <w:sz w:val="20"/>
          <w:szCs w:val="20"/>
          <w:lang w:val="fr-CA"/>
        </w:rPr>
        <w:t xml:space="preserve"> 2026</w:t>
      </w:r>
      <w:r w:rsidR="00691FDF">
        <w:rPr>
          <w:rFonts w:ascii="Arial" w:hAnsi="Arial" w:cs="Arial"/>
          <w:sz w:val="20"/>
          <w:szCs w:val="20"/>
          <w:lang w:val="fr-CA"/>
        </w:rPr>
        <w:t xml:space="preserve"> à 19h</w:t>
      </w:r>
    </w:p>
    <w:p w14:paraId="08815534" w14:textId="77777777" w:rsidR="00F84544" w:rsidRPr="00F84544" w:rsidRDefault="00F84544" w:rsidP="00F84544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sectPr w:rsidR="00F84544" w:rsidRPr="00F84544" w:rsidSect="00034616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0359" w14:textId="77777777" w:rsidR="005703E4" w:rsidRDefault="005703E4" w:rsidP="00E009DB">
      <w:pPr>
        <w:spacing w:after="0" w:line="240" w:lineRule="auto"/>
      </w:pPr>
      <w:r>
        <w:separator/>
      </w:r>
    </w:p>
  </w:endnote>
  <w:endnote w:type="continuationSeparator" w:id="0">
    <w:p w14:paraId="772476DE" w14:textId="77777777" w:rsidR="005703E4" w:rsidRDefault="005703E4" w:rsidP="00E0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B8B6" w14:textId="23617464" w:rsidR="00E009DB" w:rsidRDefault="00E009D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6CBAF658" wp14:editId="5D01B5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60730" cy="368935"/>
              <wp:effectExtent l="0" t="0" r="1270" b="0"/>
              <wp:wrapNone/>
              <wp:docPr id="493067939" name="Zone de texte 2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59BF9" w14:textId="1EBD5AE1" w:rsidR="00E009DB" w:rsidRPr="00E009DB" w:rsidRDefault="00E009DB" w:rsidP="00E009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09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F65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sage Interne" style="position:absolute;margin-left:0;margin-top:0;width:59.9pt;height:29.05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FMCgIAABUEAAAOAAAAZHJzL2Uyb0RvYy54bWysU8Fu2zAMvQ/YPwi6L3YaNG2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Sj82ae38wwwjE0m9/eza4jSna5bJ0P3wRoEo2SOtxKIosd&#10;Nz70qWNKrGVg3SiVNqPMbw7EjJ7s0mG0QrfrhrZ3UJ1wGgf9or3l6wZrbpgPL8zhZrFNVGt4xkMq&#10;aEsKg0VJDe7n3/wxHwnHKCUtKqWkBqVMifpucBFRVKPhRmOXjOldfp1j3Bz0A6D+pvgULE8mel1Q&#10;oykd6DfU8SoWwhAzHMuVdDeaD6GXLL4DLlarlIT6sSxszNbyCB15iiS+dm/M2YHpgCt6glFGrPhA&#10;eJ8bb3q7OgSkPW0jctoTOVCN2kv7HN5JFPf7/5R1ec3LXwAAAP//AwBQSwMEFAAGAAgAAAAhAHvr&#10;A3naAAAABAEAAA8AAABkcnMvZG93bnJldi54bWxMj01rwkAQhu+F/odlCr3VTZQWm2YjIniyFPy4&#10;eFt3xySanQ3ZjcZ/37GXehkY3uGZ581ng2vEBbtQe1KQjhIQSMbbmkoFu+3ybQoiRE1WN55QwQ0D&#10;zIrnp1xn1l9pjZdNLAVDKGRaQRVjm0kZTIVOh5FvkTg7+s7pyGtXStvpK8NdI8dJ8iGdrok/VLrF&#10;RYXmvOmdgvd1/O5/aDvZD+PbadUuzOS4Mkq9vgzzLxARh/h/DHd9VoeCnQ6+JxtEo4CLxL95z9JP&#10;rnFg8DQFWeTyUb74BQAA//8DAFBLAQItABQABgAIAAAAIQC2gziS/gAAAOEBAAATAAAAAAAAAAAA&#10;AAAAAAAAAABbQ29udGVudF9UeXBlc10ueG1sUEsBAi0AFAAGAAgAAAAhADj9If/WAAAAlAEAAAsA&#10;AAAAAAAAAAAAAAAALwEAAF9yZWxzLy5yZWxzUEsBAi0AFAAGAAgAAAAhABDmUUwKAgAAFQQAAA4A&#10;AAAAAAAAAAAAAAAALgIAAGRycy9lMm9Eb2MueG1sUEsBAi0AFAAGAAgAAAAhAHvrA3naAAAABAEA&#10;AA8AAAAAAAAAAAAAAAAAZAQAAGRycy9kb3ducmV2LnhtbFBLBQYAAAAABAAEAPMAAABrBQAAAAA=&#10;" filled="f" stroked="f">
              <v:textbox style="mso-fit-shape-to-text:t" inset="0,0,0,15pt">
                <w:txbxContent>
                  <w:p w14:paraId="16859BF9" w14:textId="1EBD5AE1" w:rsidR="00E009DB" w:rsidRPr="00E009DB" w:rsidRDefault="00E009DB" w:rsidP="00E009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09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1181" w14:textId="1A87F213" w:rsidR="00E009DB" w:rsidRDefault="00B62C5C" w:rsidP="00E009DB">
    <w:pPr>
      <w:pStyle w:val="Pieddepage"/>
    </w:pPr>
    <w:r w:rsidRPr="00522F23">
      <w:rPr>
        <w:noProof/>
      </w:rPr>
      <w:drawing>
        <wp:anchor distT="0" distB="0" distL="114300" distR="114300" simplePos="0" relativeHeight="251649536" behindDoc="0" locked="0" layoutInCell="1" allowOverlap="1" wp14:anchorId="0A63754A" wp14:editId="17D57953">
          <wp:simplePos x="0" y="0"/>
          <wp:positionH relativeFrom="margin">
            <wp:posOffset>4642485</wp:posOffset>
          </wp:positionH>
          <wp:positionV relativeFrom="paragraph">
            <wp:posOffset>142875</wp:posOffset>
          </wp:positionV>
          <wp:extent cx="1091565" cy="259715"/>
          <wp:effectExtent l="0" t="0" r="0" b="6985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21891BDB-736C-09C0-BDCA-74DED33645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21891BDB-736C-09C0-BDCA-74DED33645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259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F23">
      <w:rPr>
        <w:noProof/>
      </w:rPr>
      <w:drawing>
        <wp:anchor distT="0" distB="0" distL="114300" distR="114300" simplePos="0" relativeHeight="251680256" behindDoc="0" locked="0" layoutInCell="1" allowOverlap="1" wp14:anchorId="31371BC1" wp14:editId="19008B45">
          <wp:simplePos x="0" y="0"/>
          <wp:positionH relativeFrom="margin">
            <wp:posOffset>2787650</wp:posOffset>
          </wp:positionH>
          <wp:positionV relativeFrom="paragraph">
            <wp:posOffset>28575</wp:posOffset>
          </wp:positionV>
          <wp:extent cx="1812290" cy="523240"/>
          <wp:effectExtent l="0" t="0" r="0" b="0"/>
          <wp:wrapNone/>
          <wp:docPr id="3" name="Image 2" descr="Une image contenant Police, text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Police, texte, Graphique, capture d’écra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F23">
      <w:rPr>
        <w:noProof/>
      </w:rPr>
      <w:drawing>
        <wp:anchor distT="0" distB="0" distL="114300" distR="114300" simplePos="0" relativeHeight="251664896" behindDoc="0" locked="0" layoutInCell="1" allowOverlap="1" wp14:anchorId="5E4396C9" wp14:editId="6C5E8237">
          <wp:simplePos x="0" y="0"/>
          <wp:positionH relativeFrom="margin">
            <wp:posOffset>1482090</wp:posOffset>
          </wp:positionH>
          <wp:positionV relativeFrom="paragraph">
            <wp:posOffset>140970</wp:posOffset>
          </wp:positionV>
          <wp:extent cx="1227455" cy="329565"/>
          <wp:effectExtent l="0" t="0" r="0" b="0"/>
          <wp:wrapNone/>
          <wp:docPr id="26" name="Image 25" descr="Une image contenant Police, Graphique, graphisme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F2485EF9-E16F-C001-97C4-4248F0D2F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Police, Graphique, graphisme, logo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F2485EF9-E16F-C001-97C4-4248F0D2F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745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4B6">
      <w:rPr>
        <w:noProof/>
      </w:rPr>
      <w:drawing>
        <wp:inline distT="0" distB="0" distL="0" distR="0" wp14:anchorId="3D4F4152" wp14:editId="2489B205">
          <wp:extent cx="1242498" cy="985043"/>
          <wp:effectExtent l="0" t="0" r="0" b="5715"/>
          <wp:docPr id="9" name="Image 8" descr="Une image contenant texte, Police, capture d’écran, symbol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8166C2E1-30FC-A218-3399-1DFD1B4482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 descr="Une image contenant texte, Police, capture d’écran, symbol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8166C2E1-30FC-A218-3399-1DFD1B4482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42498" cy="98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4B6">
      <w:rPr>
        <w:noProof/>
      </w:rPr>
      <w:t xml:space="preserve"> </w:t>
    </w:r>
    <w:r w:rsidR="00E009DB"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7E21EB94" wp14:editId="3F6A1ACB">
              <wp:simplePos x="1143000" y="92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60730" cy="368935"/>
              <wp:effectExtent l="0" t="0" r="1270" b="0"/>
              <wp:wrapNone/>
              <wp:docPr id="482765799" name="Zone de texte 3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F1C48" w14:textId="42DCF5FC" w:rsidR="00E009DB" w:rsidRPr="00E009DB" w:rsidRDefault="00E009DB" w:rsidP="00E009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09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1EB9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sage Interne" style="position:absolute;margin-left:0;margin-top:0;width:59.9pt;height:29.05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gTDAIAABwEAAAOAAAAZHJzL2Uyb0RvYy54bWysU8Fu2zAMvQ/YPwi6L3YaNG2NOEXWIsOA&#10;oC2QDj3LshQbkERBUmJnXz9KjpOu22nYRaZJ6pF8fFrc91qRg3C+BVPS6SSnRBgOdWt2Jf3xuv5y&#10;S4kPzNRMgRElPQpP75efPy06W4graEDVwhEEMb7obEmbEGyRZZ43QjM/ASsMBiU4zQL+ul1WO9Yh&#10;ulbZVZ7Psw5cbR1w4T16H4cgXSZ8KQUPz1J6EYgqKfYW0unSWcUzWy5YsXPMNi0/tcH+oQvNWoNF&#10;z1CPLDCyd+0fULrlDjzIMOGgM5Cy5SLNgNNM8w/TbBtmRZoFyfH2TJP/f7D86bC1L46E/iv0uMBI&#10;SGd94dEZ5+ml0/GLnRKMI4XHM22iD4Sj82ae38wwwjE0m9/eza4jSna5bJ0P3wRoEo2SOtxKIosd&#10;Nj4MqWNKrGVg3SqVNqPMbw7EjJ7s0mG0Ql/1pK3fdV9BfcShHAz79pavWyy9YT68MIcLxm5RtOEZ&#10;D6mgKymcLEoacD//5o/5yDtGKelQMCU1qGhK1HeD+4jaGg03GlUypnf5dY5xs9cPgDKc4ouwPJno&#10;dUGNpnSg31DOq1gIQ8xwLFfSajQfwqBcfA5crFYpCWVkWdiYreUROtIVuXzt35izJ8IDbuoJRjWx&#10;4gPvQ2686e1qH5D9tJRI7UDkiXGUYFrr6blEjb//T1mXR738BQAA//8DAFBLAwQUAAYACAAAACEA&#10;e+sDedoAAAAEAQAADwAAAGRycy9kb3ducmV2LnhtbEyPTWvCQBCG74X+h2UKvdVNlBabZiMieLIU&#10;/Lh4W3fHJJqdDdmNxn/fsZd6GRje4ZnnzWeDa8QFu1B7UpCOEhBIxtuaSgW77fJtCiJETVY3nlDB&#10;DQPMiuenXGfWX2mNl00sBUMoZFpBFWObSRlMhU6HkW+RODv6zunIa1dK2+krw10jx0nyIZ2uiT9U&#10;usVFhea86Z2C93X87n9oO9kP49tp1S7M5LgySr2+DPMvEBGH+H8Md31Wh4KdDr4nG0SjgIvEv3nP&#10;0k+ucWDwNAVZ5PJRvvgFAAD//wMAUEsBAi0AFAAGAAgAAAAhALaDOJL+AAAA4QEAABMAAAAAAAAA&#10;AAAAAAAAAAAAAFtDb250ZW50X1R5cGVzXS54bWxQSwECLQAUAAYACAAAACEAOP0h/9YAAACUAQAA&#10;CwAAAAAAAAAAAAAAAAAvAQAAX3JlbHMvLnJlbHNQSwECLQAUAAYACAAAACEAAP8oEwwCAAAcBAAA&#10;DgAAAAAAAAAAAAAAAAAuAgAAZHJzL2Uyb0RvYy54bWxQSwECLQAUAAYACAAAACEAe+sDedoAAAAE&#10;AQAADwAAAAAAAAAAAAAAAABmBAAAZHJzL2Rvd25yZXYueG1sUEsFBgAAAAAEAAQA8wAAAG0FAAAA&#10;AA==&#10;" filled="f" stroked="f">
              <v:textbox style="mso-fit-shape-to-text:t" inset="0,0,0,15pt">
                <w:txbxContent>
                  <w:p w14:paraId="72AF1C48" w14:textId="42DCF5FC" w:rsidR="00E009DB" w:rsidRPr="00E009DB" w:rsidRDefault="00E009DB" w:rsidP="00E009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09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1CD516" w14:textId="77777777" w:rsidR="00E009DB" w:rsidRDefault="00E009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4C6D" w14:textId="7934A9FA" w:rsidR="00E009DB" w:rsidRDefault="00E009D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7469DA39" wp14:editId="14E095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60730" cy="368935"/>
              <wp:effectExtent l="0" t="0" r="1270" b="0"/>
              <wp:wrapNone/>
              <wp:docPr id="659705115" name="Zone de texte 1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6FC9E" w14:textId="2885E2D6" w:rsidR="00E009DB" w:rsidRPr="00E009DB" w:rsidRDefault="00E009DB" w:rsidP="00E009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09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9DA3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sage Interne" style="position:absolute;margin-left:0;margin-top:0;width:59.9pt;height:29.05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9VDgIAABwEAAAOAAAAZHJzL2Uyb0RvYy54bWysU8Fu2zAMvQ/YPwi6L3YSNG2NOEXWIsOA&#10;oC2QDj0rshQbkERBUmJnXz9KjpOu7WnYRaZJ6pF8fJrfdVqRg3C+AVPS8SinRBgOVWN2Jf31svp2&#10;Q4kPzFRMgRElPQpP7xZfv8xbW4gJ1KAq4QiCGF+0tqR1CLbIMs9roZkfgRUGgxKcZgF/3S6rHGsR&#10;XatskuezrAVXWQdceI/ehz5IFwlfSsHDk5ReBKJKir2FdLp0buOZLeas2Dlm64af2mD/0IVmjcGi&#10;Z6gHFhjZu+YDlG64Aw8yjDjoDKRsuEgz4DTj/N00m5pZkWZBcrw90+T/Hyx/PGzssyOh+w4dLjAS&#10;0lpfeHTGeTrpdPxipwTjSOHxTJvoAuHovJ7l11OMcAxNZze306uIkl0uW+fDDwGaRKOkDreSyGKH&#10;tQ996pASaxlYNUqlzSjzlwMxoye7dBit0G070lQlnQzdb6E64lAO+n17y1cNll4zH56ZwwVjtyja&#10;8ISHVNCWFE4WJTW435/5Yz7yjlFKWhRMSQ0qmhL10+A+orYGww3GNhnj2/wqx7jZ63tAGY7xRVie&#10;TPS6oAZTOtCvKOdlLIQhZjiWK+l2MO9Dr1x8DlwslykJZWRZWJuN5RE60hW5fOlembMnwgNu6hEG&#10;NbHiHe99brzp7XIfkP20lEhtT+SJcZRgWuvpuUSNv/1PWZdHvfgDAAD//wMAUEsDBBQABgAIAAAA&#10;IQB76wN52gAAAAQBAAAPAAAAZHJzL2Rvd25yZXYueG1sTI9Na8JAEIbvhf6HZQq91U2UFptmIyJ4&#10;shT8uHhbd8ckmp0N2Y3Gf9+xl3oZGN7hmefNZ4NrxAW7UHtSkI4SEEjG25pKBbvt8m0KIkRNVjee&#10;UMENA8yK56dcZ9ZfaY2XTSwFQyhkWkEVY5tJGUyFToeRb5E4O/rO6chrV0rb6SvDXSPHSfIhna6J&#10;P1S6xUWF5rzpnYL3dfzuf2g72Q/j22nVLszkuDJKvb4M8y8QEYf4fwx3fVaHgp0OvicbRKOAi8S/&#10;ec/ST65xYPA0BVnk8lG++AUAAP//AwBQSwECLQAUAAYACAAAACEAtoM4kv4AAADhAQAAEwAAAAAA&#10;AAAAAAAAAAAAAAAAW0NvbnRlbnRfVHlwZXNdLnhtbFBLAQItABQABgAIAAAAIQA4/SH/1gAAAJQB&#10;AAALAAAAAAAAAAAAAAAAAC8BAABfcmVscy8ucmVsc1BLAQItABQABgAIAAAAIQC3Pv9VDgIAABwE&#10;AAAOAAAAAAAAAAAAAAAAAC4CAABkcnMvZTJvRG9jLnhtbFBLAQItABQABgAIAAAAIQB76wN52gAA&#10;AAQBAAAPAAAAAAAAAAAAAAAAAGgEAABkcnMvZG93bnJldi54bWxQSwUGAAAAAAQABADzAAAAbwUA&#10;AAAA&#10;" filled="f" stroked="f">
              <v:textbox style="mso-fit-shape-to-text:t" inset="0,0,0,15pt">
                <w:txbxContent>
                  <w:p w14:paraId="1036FC9E" w14:textId="2885E2D6" w:rsidR="00E009DB" w:rsidRPr="00E009DB" w:rsidRDefault="00E009DB" w:rsidP="00E009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09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3308" w14:textId="77777777" w:rsidR="005703E4" w:rsidRDefault="005703E4" w:rsidP="00E009DB">
      <w:pPr>
        <w:spacing w:after="0" w:line="240" w:lineRule="auto"/>
      </w:pPr>
      <w:r>
        <w:separator/>
      </w:r>
    </w:p>
  </w:footnote>
  <w:footnote w:type="continuationSeparator" w:id="0">
    <w:p w14:paraId="6488B7D8" w14:textId="77777777" w:rsidR="005703E4" w:rsidRDefault="005703E4" w:rsidP="00E0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4349247">
    <w:abstractNumId w:val="8"/>
  </w:num>
  <w:num w:numId="2" w16cid:durableId="1619605136">
    <w:abstractNumId w:val="6"/>
  </w:num>
  <w:num w:numId="3" w16cid:durableId="1566063817">
    <w:abstractNumId w:val="5"/>
  </w:num>
  <w:num w:numId="4" w16cid:durableId="579757637">
    <w:abstractNumId w:val="4"/>
  </w:num>
  <w:num w:numId="5" w16cid:durableId="577179304">
    <w:abstractNumId w:val="7"/>
  </w:num>
  <w:num w:numId="6" w16cid:durableId="2078934823">
    <w:abstractNumId w:val="3"/>
  </w:num>
  <w:num w:numId="7" w16cid:durableId="539131038">
    <w:abstractNumId w:val="2"/>
  </w:num>
  <w:num w:numId="8" w16cid:durableId="1599144294">
    <w:abstractNumId w:val="1"/>
  </w:num>
  <w:num w:numId="9" w16cid:durableId="129112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517"/>
    <w:rsid w:val="00034616"/>
    <w:rsid w:val="0004688A"/>
    <w:rsid w:val="0006063C"/>
    <w:rsid w:val="000C3879"/>
    <w:rsid w:val="000F62A3"/>
    <w:rsid w:val="00103E73"/>
    <w:rsid w:val="0015074B"/>
    <w:rsid w:val="001742BF"/>
    <w:rsid w:val="001B5949"/>
    <w:rsid w:val="001B7152"/>
    <w:rsid w:val="00204198"/>
    <w:rsid w:val="002114B6"/>
    <w:rsid w:val="00281FA7"/>
    <w:rsid w:val="0029639D"/>
    <w:rsid w:val="002D16E4"/>
    <w:rsid w:val="00326F90"/>
    <w:rsid w:val="003327CA"/>
    <w:rsid w:val="00345220"/>
    <w:rsid w:val="003B15E8"/>
    <w:rsid w:val="00461F1E"/>
    <w:rsid w:val="0049651A"/>
    <w:rsid w:val="00545294"/>
    <w:rsid w:val="005703E4"/>
    <w:rsid w:val="005C6B3F"/>
    <w:rsid w:val="005D5923"/>
    <w:rsid w:val="005E1421"/>
    <w:rsid w:val="005F0C39"/>
    <w:rsid w:val="0060519B"/>
    <w:rsid w:val="00617EBC"/>
    <w:rsid w:val="00651B0A"/>
    <w:rsid w:val="00691FDF"/>
    <w:rsid w:val="006944D4"/>
    <w:rsid w:val="006D42BA"/>
    <w:rsid w:val="006D6B26"/>
    <w:rsid w:val="006E2B39"/>
    <w:rsid w:val="007B1AFF"/>
    <w:rsid w:val="00841123"/>
    <w:rsid w:val="008939F8"/>
    <w:rsid w:val="008B2B1B"/>
    <w:rsid w:val="00992B56"/>
    <w:rsid w:val="009F7146"/>
    <w:rsid w:val="00A12C78"/>
    <w:rsid w:val="00A70993"/>
    <w:rsid w:val="00AA1D8D"/>
    <w:rsid w:val="00AD7C93"/>
    <w:rsid w:val="00B47730"/>
    <w:rsid w:val="00B62C5C"/>
    <w:rsid w:val="00B8011C"/>
    <w:rsid w:val="00BD6E64"/>
    <w:rsid w:val="00C4109F"/>
    <w:rsid w:val="00CB0664"/>
    <w:rsid w:val="00D60861"/>
    <w:rsid w:val="00D953B0"/>
    <w:rsid w:val="00DB0035"/>
    <w:rsid w:val="00E009DB"/>
    <w:rsid w:val="00E30B23"/>
    <w:rsid w:val="00E360BE"/>
    <w:rsid w:val="00EB1FD5"/>
    <w:rsid w:val="00F04637"/>
    <w:rsid w:val="00F84544"/>
    <w:rsid w:val="00F93E3D"/>
    <w:rsid w:val="00FB670B"/>
    <w:rsid w:val="00FC693F"/>
    <w:rsid w:val="00FD6B79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585D8"/>
  <w14:defaultImageDpi w14:val="300"/>
  <w15:docId w15:val="{466B5CFB-21AF-42AE-A534-70106E26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2041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did-raidates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2824</Characters>
  <Application>Microsoft Office Word</Application>
  <DocSecurity>0</DocSecurity>
  <Lines>104</Lines>
  <Paragraphs>78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Nour Eddine</cp:lastModifiedBy>
  <cp:revision>2</cp:revision>
  <dcterms:created xsi:type="dcterms:W3CDTF">2026-04-27T11:22:00Z</dcterms:created>
  <dcterms:modified xsi:type="dcterms:W3CDTF">2026-04-27T11:22:00Z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27524d1b,1d639ea3,1cc66be7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Usage Interne</vt:lpwstr>
  </property>
  <property fmtid="{D5CDD505-2E9C-101B-9397-08002B2CF9AE}" pid="5" name="MSIP_Label_c6ab6998-18c9-4fac-a471-b18bc4ecc3e7_Enabled">
    <vt:lpwstr>true</vt:lpwstr>
  </property>
  <property fmtid="{D5CDD505-2E9C-101B-9397-08002B2CF9AE}" pid="6" name="MSIP_Label_c6ab6998-18c9-4fac-a471-b18bc4ecc3e7_SetDate">
    <vt:lpwstr>2026-03-05T12:24:14Z</vt:lpwstr>
  </property>
  <property fmtid="{D5CDD505-2E9C-101B-9397-08002B2CF9AE}" pid="7" name="MSIP_Label_c6ab6998-18c9-4fac-a471-b18bc4ecc3e7_Method">
    <vt:lpwstr>Standard</vt:lpwstr>
  </property>
  <property fmtid="{D5CDD505-2E9C-101B-9397-08002B2CF9AE}" pid="8" name="MSIP_Label_c6ab6998-18c9-4fac-a471-b18bc4ecc3e7_Name">
    <vt:lpwstr>Usage interne</vt:lpwstr>
  </property>
  <property fmtid="{D5CDD505-2E9C-101B-9397-08002B2CF9AE}" pid="9" name="MSIP_Label_c6ab6998-18c9-4fac-a471-b18bc4ecc3e7_SiteId">
    <vt:lpwstr>6febe625-b7a4-4ae7-a863-62a583d469b8</vt:lpwstr>
  </property>
  <property fmtid="{D5CDD505-2E9C-101B-9397-08002B2CF9AE}" pid="10" name="MSIP_Label_c6ab6998-18c9-4fac-a471-b18bc4ecc3e7_ActionId">
    <vt:lpwstr>9c01bc2b-fbbf-4617-8c2b-077a8d6cc4b3</vt:lpwstr>
  </property>
  <property fmtid="{D5CDD505-2E9C-101B-9397-08002B2CF9AE}" pid="11" name="MSIP_Label_c6ab6998-18c9-4fac-a471-b18bc4ecc3e7_ContentBits">
    <vt:lpwstr>2</vt:lpwstr>
  </property>
  <property fmtid="{D5CDD505-2E9C-101B-9397-08002B2CF9AE}" pid="12" name="MSIP_Label_c6ab6998-18c9-4fac-a471-b18bc4ecc3e7_Tag">
    <vt:lpwstr>10, 3, 0, 1</vt:lpwstr>
  </property>
</Properties>
</file>