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5DD682B0" w:rsidR="00D04E04" w:rsidRPr="00E87857" w:rsidRDefault="00D04E04" w:rsidP="00101577">
      <w:pPr>
        <w:pStyle w:val="Titre2"/>
        <w:rPr>
          <w:rFonts w:eastAsiaTheme="minorHAnsi"/>
          <w:lang w:val="fr-FR"/>
        </w:rPr>
      </w:pPr>
      <w:bookmarkStart w:id="0" w:name="_Toc91418350"/>
      <w:r w:rsidRPr="00F8090C">
        <w:rPr>
          <w:rFonts w:eastAsiaTheme="minorHAnsi"/>
          <w:lang w:val="fr-FR"/>
        </w:rPr>
        <w:t xml:space="preserve">Numéro de contrat : </w:t>
      </w:r>
      <w:bookmarkEnd w:id="0"/>
      <w:r w:rsidR="00E34080">
        <w:rPr>
          <w:rFonts w:eastAsiaTheme="minorHAnsi"/>
          <w:lang w:val="fr-FR"/>
        </w:rPr>
        <w:t xml:space="preserve">   </w:t>
      </w: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3CC66269" w14:textId="76250365" w:rsidR="00745212" w:rsidRPr="00F8090C" w:rsidRDefault="00D04E04">
          <w:pPr>
            <w:pStyle w:val="TM2"/>
            <w:tabs>
              <w:tab w:val="right" w:leader="dot" w:pos="9204"/>
            </w:tabs>
            <w:rPr>
              <w:rFonts w:asciiTheme="minorHAnsi" w:eastAsiaTheme="minorEastAsia" w:hAnsiTheme="minorHAnsi" w:cstheme="minorBidi"/>
              <w:noProof/>
              <w:szCs w:val="22"/>
              <w:lang w:val="fr-FR" w:eastAsia="fr-FR"/>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91418350" w:history="1">
            <w:r w:rsidR="00745212" w:rsidRPr="00F8090C">
              <w:rPr>
                <w:rStyle w:val="Lienhypertexte"/>
                <w:rFonts w:eastAsiaTheme="minorHAnsi"/>
                <w:noProof/>
                <w:lang w:val="fr-FR"/>
              </w:rPr>
              <w:t>Numéro de contrat :      </w:t>
            </w:r>
            <w:r w:rsidR="00745212" w:rsidRPr="00E87857">
              <w:rPr>
                <w:noProof/>
                <w:webHidden/>
                <w:lang w:val="fr-FR"/>
              </w:rPr>
              <w:tab/>
            </w:r>
            <w:r w:rsidR="00745212" w:rsidRPr="00E87857">
              <w:rPr>
                <w:noProof/>
                <w:webHidden/>
                <w:lang w:val="fr-FR"/>
              </w:rPr>
              <w:fldChar w:fldCharType="begin"/>
            </w:r>
            <w:r w:rsidR="00745212" w:rsidRPr="00E87857">
              <w:rPr>
                <w:noProof/>
                <w:webHidden/>
                <w:lang w:val="fr-FR"/>
              </w:rPr>
              <w:instrText xml:space="preserve"> PAGEREF _Toc91418350 \h </w:instrText>
            </w:r>
            <w:r w:rsidR="00745212" w:rsidRPr="00E87857">
              <w:rPr>
                <w:noProof/>
                <w:webHidden/>
                <w:lang w:val="fr-FR"/>
              </w:rPr>
            </w:r>
            <w:r w:rsidR="00745212" w:rsidRPr="00E87857">
              <w:rPr>
                <w:noProof/>
                <w:webHidden/>
                <w:lang w:val="fr-FR"/>
              </w:rPr>
              <w:fldChar w:fldCharType="separate"/>
            </w:r>
            <w:r w:rsidR="00E87857">
              <w:rPr>
                <w:noProof/>
                <w:webHidden/>
                <w:lang w:val="fr-FR"/>
              </w:rPr>
              <w:t>1</w:t>
            </w:r>
            <w:r w:rsidR="00745212" w:rsidRPr="00E87857">
              <w:rPr>
                <w:noProof/>
                <w:webHidden/>
                <w:lang w:val="fr-FR"/>
              </w:rPr>
              <w:fldChar w:fldCharType="end"/>
            </w:r>
          </w:hyperlink>
        </w:p>
        <w:p w14:paraId="4199444B" w14:textId="77330E35"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6" w:history="1">
            <w:r w:rsidRPr="00F8090C">
              <w:rPr>
                <w:rStyle w:val="Lienhypertexte"/>
                <w:noProof/>
                <w:lang w:val="fr-FR"/>
              </w:rPr>
              <w:t>Performance économique et financière</w:t>
            </w:r>
            <w:r w:rsidRPr="00E87857">
              <w:rPr>
                <w:noProof/>
                <w:webHidden/>
                <w:lang w:val="fr-FR"/>
              </w:rPr>
              <w:tab/>
            </w:r>
            <w:r w:rsidR="001222D5">
              <w:rPr>
                <w:noProof/>
                <w:webHidden/>
                <w:lang w:val="fr-FR"/>
              </w:rPr>
              <w:t>1</w:t>
            </w:r>
          </w:hyperlink>
        </w:p>
        <w:p w14:paraId="2FDDC970" w14:textId="45680238"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7" w:history="1">
            <w:r w:rsidRPr="00F8090C">
              <w:rPr>
                <w:rStyle w:val="Lienhypertexte"/>
                <w:noProof/>
                <w:lang w:val="fr-FR"/>
              </w:rPr>
              <w:t>Performance technique</w:t>
            </w:r>
            <w:r w:rsidRPr="00E87857">
              <w:rPr>
                <w:noProof/>
                <w:webHidden/>
                <w:lang w:val="fr-FR"/>
              </w:rPr>
              <w:tab/>
            </w:r>
            <w:r w:rsidR="001222D5">
              <w:rPr>
                <w:noProof/>
                <w:webHidden/>
                <w:lang w:val="fr-FR"/>
              </w:rPr>
              <w:t>2</w:t>
            </w:r>
          </w:hyperlink>
        </w:p>
        <w:p w14:paraId="6A859F82" w14:textId="607BE53A"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8" w:history="1">
            <w:r w:rsidRPr="00F8090C">
              <w:rPr>
                <w:rStyle w:val="Lienhypertexte"/>
                <w:noProof/>
                <w:lang w:val="fr-FR"/>
              </w:rPr>
              <w:t>Récapitulatif des projets de référence</w:t>
            </w:r>
            <w:r w:rsidRPr="00E87857">
              <w:rPr>
                <w:noProof/>
                <w:webHidden/>
                <w:lang w:val="fr-FR"/>
              </w:rPr>
              <w:tab/>
            </w:r>
            <w:r w:rsidR="001222D5">
              <w:rPr>
                <w:noProof/>
                <w:webHidden/>
                <w:lang w:val="fr-FR"/>
              </w:rPr>
              <w:t>3</w:t>
            </w:r>
          </w:hyperlink>
        </w:p>
        <w:p w14:paraId="2345258E" w14:textId="396664DA"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59" w:history="1">
            <w:r w:rsidRPr="00F8090C">
              <w:rPr>
                <w:rStyle w:val="Lienhypertexte"/>
                <w:noProof/>
                <w:lang w:val="fr-FR"/>
              </w:rPr>
              <w:t>Déclaration d’intégrité</w:t>
            </w:r>
            <w:r w:rsidRPr="00E87857">
              <w:rPr>
                <w:noProof/>
                <w:webHidden/>
                <w:lang w:val="fr-FR"/>
              </w:rPr>
              <w:tab/>
            </w:r>
            <w:r w:rsidR="001222D5">
              <w:rPr>
                <w:noProof/>
                <w:webHidden/>
                <w:lang w:val="fr-FR"/>
              </w:rPr>
              <w:t>4</w:t>
            </w:r>
          </w:hyperlink>
        </w:p>
        <w:p w14:paraId="2EBE7E92" w14:textId="7F5A9949" w:rsidR="00745212" w:rsidRPr="00F8090C" w:rsidRDefault="00745212">
          <w:pPr>
            <w:pStyle w:val="TM3"/>
            <w:tabs>
              <w:tab w:val="right" w:leader="dot" w:pos="9204"/>
            </w:tabs>
            <w:rPr>
              <w:rFonts w:asciiTheme="minorHAnsi" w:eastAsiaTheme="minorEastAsia" w:hAnsiTheme="minorHAnsi" w:cstheme="minorBidi"/>
              <w:noProof/>
              <w:szCs w:val="22"/>
              <w:lang w:val="fr-FR" w:eastAsia="fr-FR"/>
            </w:rPr>
          </w:pPr>
          <w:hyperlink w:anchor="_Toc91418360" w:history="1">
            <w:r w:rsidRPr="00F8090C">
              <w:rPr>
                <w:rStyle w:val="Lienhypertexte"/>
                <w:noProof/>
                <w:lang w:val="fr-FR"/>
              </w:rPr>
              <w:t>Primauté des règles propres du pouvoir adjudicateur</w:t>
            </w:r>
            <w:r w:rsidRPr="00E87857">
              <w:rPr>
                <w:noProof/>
                <w:webHidden/>
                <w:lang w:val="fr-FR"/>
              </w:rPr>
              <w:tab/>
            </w:r>
            <w:r w:rsidR="001222D5">
              <w:rPr>
                <w:noProof/>
                <w:webHidden/>
                <w:lang w:val="fr-FR"/>
              </w:rPr>
              <w:t>5</w:t>
            </w:r>
          </w:hyperlink>
        </w:p>
        <w:p w14:paraId="0D6C4C8C" w14:textId="630D48AC"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BC4B2B"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BC4B2B"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1" w:name="_Toc91418356"/>
      <w:r w:rsidRPr="00F8090C">
        <w:rPr>
          <w:lang w:val="fr-FR"/>
        </w:rPr>
        <w:t>Performance économique et financière</w:t>
      </w:r>
      <w:bookmarkEnd w:id="1"/>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27557D34" w:rsidR="00DE3C1A" w:rsidRPr="00E87857" w:rsidRDefault="00074A24" w:rsidP="103B7EE1">
      <w:pPr>
        <w:spacing w:before="100" w:beforeAutospacing="1"/>
        <w:rPr>
          <w:rFonts w:cs="Arial"/>
          <w:color w:val="000000" w:themeColor="text1"/>
          <w:lang w:val="fr-FR"/>
        </w:rPr>
      </w:pPr>
      <w:r w:rsidRPr="103B7EE1">
        <w:rPr>
          <w:rFonts w:cs="Arial"/>
          <w:color w:val="000000" w:themeColor="text1"/>
          <w:lang w:val="fr-FR"/>
        </w:rPr>
        <w:t xml:space="preserve">Votre chiffre d’affaires réalisé </w:t>
      </w:r>
      <w:bookmarkStart w:id="2" w:name="_Hlk47555070"/>
      <w:r w:rsidRPr="103B7EE1">
        <w:rPr>
          <w:rFonts w:cs="Arial"/>
          <w:color w:val="000000" w:themeColor="text1"/>
          <w:lang w:val="fr-FR"/>
        </w:rPr>
        <w:t xml:space="preserve">par </w:t>
      </w:r>
      <w:r w:rsidR="00CF1E14" w:rsidRPr="103B7EE1">
        <w:rPr>
          <w:rFonts w:cs="Arial"/>
          <w:lang w:val="fr-FR"/>
        </w:rPr>
        <w:fldChar w:fldCharType="begin">
          <w:ffData>
            <w:name w:val="Text5"/>
            <w:enabled/>
            <w:calcOnExit w:val="0"/>
            <w:textInput>
              <w:default w:val="l'ensemble de l'entreprise"/>
            </w:textInput>
          </w:ffData>
        </w:fldChar>
      </w:r>
      <w:bookmarkStart w:id="3" w:name="Text5"/>
      <w:r w:rsidR="00CF1E14" w:rsidRPr="103B7EE1">
        <w:rPr>
          <w:rFonts w:cs="Arial"/>
          <w:lang w:val="fr-FR"/>
        </w:rPr>
        <w:instrText xml:space="preserve"> FORMTEXT </w:instrText>
      </w:r>
      <w:r w:rsidR="00CF1E14" w:rsidRPr="103B7EE1">
        <w:rPr>
          <w:rFonts w:cs="Arial"/>
          <w:lang w:val="fr-FR"/>
        </w:rPr>
      </w:r>
      <w:r w:rsidR="00CF1E14" w:rsidRPr="103B7EE1">
        <w:rPr>
          <w:rFonts w:cs="Arial"/>
          <w:lang w:val="fr-FR"/>
        </w:rPr>
        <w:fldChar w:fldCharType="separate"/>
      </w:r>
      <w:r w:rsidR="00CF1E14" w:rsidRPr="103B7EE1">
        <w:rPr>
          <w:rFonts w:cs="Arial"/>
          <w:noProof/>
          <w:lang w:val="fr-FR"/>
        </w:rPr>
        <w:t>l'ensemble de l'entreprise</w:t>
      </w:r>
      <w:r w:rsidR="00CF1E14" w:rsidRPr="103B7EE1">
        <w:rPr>
          <w:rFonts w:cs="Arial"/>
          <w:lang w:val="fr-FR"/>
        </w:rPr>
        <w:fldChar w:fldCharType="end"/>
      </w:r>
      <w:bookmarkEnd w:id="3"/>
      <w:r w:rsidRPr="103B7EE1">
        <w:rPr>
          <w:rFonts w:cs="Arial"/>
          <w:lang w:val="fr-FR"/>
        </w:rPr>
        <w:t xml:space="preserve"> </w:t>
      </w:r>
      <w:bookmarkEnd w:id="2"/>
      <w:r w:rsidRPr="103B7EE1">
        <w:rPr>
          <w:rFonts w:cs="Arial"/>
          <w:color w:val="000000" w:themeColor="text1"/>
          <w:lang w:val="fr-FR"/>
        </w:rPr>
        <w:t>au cours des trois derniers exercices clos atteint-il (</w:t>
      </w:r>
      <w:r w:rsidR="00BC4B2B">
        <w:rPr>
          <w:rFonts w:cs="Arial"/>
          <w:color w:val="000000" w:themeColor="text1"/>
          <w:lang w:val="fr-FR"/>
        </w:rPr>
        <w:t>en moyenne</w:t>
      </w:r>
      <w:r w:rsidRPr="103B7EE1">
        <w:rPr>
          <w:rFonts w:cs="Arial"/>
          <w:color w:val="000000" w:themeColor="text1"/>
          <w:lang w:val="fr-FR"/>
        </w:rPr>
        <w:t>) au minimum</w:t>
      </w:r>
      <w:r w:rsidR="00E34080" w:rsidRPr="103B7EE1">
        <w:rPr>
          <w:rFonts w:cs="Arial"/>
          <w:color w:val="000000" w:themeColor="text1"/>
          <w:lang w:val="fr-FR"/>
        </w:rPr>
        <w:t xml:space="preserve"> </w:t>
      </w:r>
      <w:r w:rsidR="009056B1">
        <w:rPr>
          <w:rFonts w:cs="Arial"/>
          <w:b/>
          <w:bCs/>
          <w:color w:val="000000" w:themeColor="text1"/>
          <w:lang w:val="fr-FR"/>
        </w:rPr>
        <w:t>50</w:t>
      </w:r>
      <w:r w:rsidR="5EDD95A1" w:rsidRPr="103B7EE1">
        <w:rPr>
          <w:rFonts w:cs="Arial"/>
          <w:b/>
          <w:bCs/>
          <w:color w:val="000000" w:themeColor="text1"/>
          <w:lang w:val="fr-FR"/>
        </w:rPr>
        <w:t>0 000</w:t>
      </w:r>
      <w:r w:rsidR="00E34080" w:rsidRPr="103B7EE1">
        <w:rPr>
          <w:rFonts w:cs="Arial"/>
          <w:b/>
          <w:bCs/>
          <w:color w:val="000000" w:themeColor="text1"/>
          <w:lang w:val="fr-FR"/>
        </w:rPr>
        <w:t xml:space="preserve"> </w:t>
      </w:r>
      <w:r w:rsidR="00E34080" w:rsidRPr="103B7EE1">
        <w:rPr>
          <w:rFonts w:cs="Arial"/>
          <w:b/>
          <w:bCs/>
          <w:lang w:val="fr-FR"/>
        </w:rPr>
        <w:t>MAD</w:t>
      </w:r>
      <w:r w:rsidRPr="103B7EE1">
        <w:rPr>
          <w:rFonts w:cs="Arial"/>
          <w:color w:val="000000" w:themeColor="text1"/>
          <w:lang w:val="fr-FR"/>
        </w:rPr>
        <w:t xml:space="preserve"> net ?</w:t>
      </w:r>
    </w:p>
    <w:p w14:paraId="18A74909" w14:textId="77777777" w:rsidR="00EB796A" w:rsidRPr="00E87857" w:rsidRDefault="00BC4B2B"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0C08EF57"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lastRenderedPageBreak/>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F05B28">
        <w:rPr>
          <w:rFonts w:cs="Arial"/>
          <w:b/>
          <w:bCs/>
          <w:szCs w:val="22"/>
          <w:lang w:val="fr-FR"/>
        </w:rPr>
        <w:t>une</w:t>
      </w:r>
      <w:r w:rsidR="00E34080">
        <w:rPr>
          <w:rFonts w:cs="Arial"/>
          <w:b/>
          <w:bCs/>
          <w:szCs w:val="22"/>
          <w:lang w:val="fr-FR"/>
        </w:rPr>
        <w:t xml:space="preserve"> (</w:t>
      </w:r>
      <w:r w:rsidR="00F05B28">
        <w:rPr>
          <w:rFonts w:cs="Arial"/>
          <w:b/>
          <w:bCs/>
          <w:szCs w:val="22"/>
          <w:lang w:val="fr-FR"/>
        </w:rPr>
        <w:t>1</w:t>
      </w:r>
      <w:r w:rsidR="00E34080">
        <w:rPr>
          <w:rFonts w:cs="Arial"/>
          <w:b/>
          <w:bCs/>
          <w:szCs w:val="22"/>
          <w:lang w:val="fr-FR"/>
        </w:rPr>
        <w:t>)</w:t>
      </w:r>
      <w:r w:rsidRPr="00F8090C">
        <w:rPr>
          <w:rFonts w:cs="Arial"/>
          <w:szCs w:val="22"/>
          <w:lang w:val="fr-FR"/>
        </w:rPr>
        <w:t> </w:t>
      </w:r>
      <w:r w:rsidRPr="00F8090C">
        <w:rPr>
          <w:rFonts w:cs="Arial"/>
          <w:b/>
          <w:bCs/>
          <w:color w:val="000000" w:themeColor="text1"/>
          <w:szCs w:val="22"/>
          <w:lang w:val="fr-FR"/>
        </w:rPr>
        <w:t>personne </w:t>
      </w:r>
      <w:r w:rsidRPr="00F8090C">
        <w:rPr>
          <w:rFonts w:cs="Arial"/>
          <w:color w:val="000000" w:themeColor="text1"/>
          <w:szCs w:val="22"/>
          <w:lang w:val="fr-FR"/>
        </w:rPr>
        <w:t>?</w:t>
      </w:r>
    </w:p>
    <w:p w14:paraId="5768E825" w14:textId="77777777" w:rsidR="005D18E7" w:rsidRPr="00E87857" w:rsidRDefault="00BC4B2B"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4" w:name="_Toc91418357"/>
      <w:r w:rsidRPr="00F8090C">
        <w:rPr>
          <w:lang w:val="fr-FR"/>
        </w:rPr>
        <w:t>Performance technique</w:t>
      </w:r>
      <w:bookmarkEnd w:id="4"/>
    </w:p>
    <w:p w14:paraId="5A86DC83" w14:textId="08D1191D"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 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4F4924C0" w:rsidR="00074A24" w:rsidRPr="00E87857" w:rsidRDefault="00074A24" w:rsidP="103B7EE1">
      <w:pPr>
        <w:pStyle w:val="Corpsdetexte"/>
        <w:jc w:val="both"/>
        <w:rPr>
          <w:b w:val="0"/>
          <w:bCs w:val="0"/>
          <w:color w:val="000000" w:themeColor="text1"/>
          <w:lang w:val="fr-FR"/>
        </w:rPr>
      </w:pPr>
      <w:r w:rsidRPr="103B7EE1">
        <w:rPr>
          <w:b w:val="0"/>
          <w:bCs w:val="0"/>
          <w:color w:val="000000" w:themeColor="text1"/>
          <w:lang w:val="fr-FR"/>
        </w:rPr>
        <w:t xml:space="preserve">L’évaluation de l’aptitude est effectuée uniquement sur la base de projets de référence d’un volume minimum de </w:t>
      </w:r>
      <w:r w:rsidR="009C759A">
        <w:rPr>
          <w:lang w:val="fr-FR"/>
        </w:rPr>
        <w:t>100</w:t>
      </w:r>
      <w:r w:rsidR="08117637" w:rsidRPr="103B7EE1">
        <w:rPr>
          <w:lang w:val="fr-FR"/>
        </w:rPr>
        <w:t xml:space="preserve"> 000</w:t>
      </w:r>
      <w:r w:rsidRPr="103B7EE1">
        <w:rPr>
          <w:lang w:val="fr-FR"/>
        </w:rPr>
        <w:t> </w:t>
      </w:r>
      <w:r w:rsidR="00752B39" w:rsidRPr="103B7EE1">
        <w:rPr>
          <w:color w:val="000000" w:themeColor="text1"/>
          <w:lang w:val="fr-FR"/>
        </w:rPr>
        <w:t>MAD</w:t>
      </w:r>
      <w:r w:rsidRPr="103B7EE1">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3C76C932" w14:textId="0F2369AF" w:rsidR="00E34080" w:rsidRDefault="00074A24" w:rsidP="00E87857">
      <w:pPr>
        <w:pStyle w:val="Corpsdetexte"/>
        <w:jc w:val="both"/>
        <w:rPr>
          <w:color w:val="000000" w:themeColor="text1"/>
          <w:szCs w:val="22"/>
          <w:lang w:val="fr-FR"/>
        </w:rPr>
      </w:pPr>
      <w:r w:rsidRPr="00F8090C">
        <w:rPr>
          <w:b w:val="0"/>
          <w:bCs w:val="0"/>
          <w:color w:val="000000" w:themeColor="text1"/>
          <w:szCs w:val="22"/>
          <w:lang w:val="fr-FR"/>
        </w:rPr>
        <w:t xml:space="preserve">Au moins </w:t>
      </w:r>
      <w:r w:rsidR="009D67C8">
        <w:rPr>
          <w:szCs w:val="22"/>
          <w:lang w:val="fr-FR"/>
        </w:rPr>
        <w:t>un</w:t>
      </w:r>
      <w:r w:rsidR="00E34080">
        <w:rPr>
          <w:szCs w:val="22"/>
          <w:lang w:val="fr-FR"/>
        </w:rPr>
        <w:t xml:space="preserve"> (</w:t>
      </w:r>
      <w:r w:rsidR="009D67C8">
        <w:rPr>
          <w:szCs w:val="22"/>
          <w:lang w:val="fr-FR"/>
        </w:rPr>
        <w:t>1</w:t>
      </w:r>
      <w:r w:rsidR="00E34080">
        <w:rPr>
          <w:szCs w:val="22"/>
          <w:lang w:val="fr-FR"/>
        </w:rPr>
        <w:t xml:space="preserve">) </w:t>
      </w:r>
      <w:r w:rsidR="00E34080" w:rsidRPr="00F8090C">
        <w:rPr>
          <w:color w:val="000000" w:themeColor="text1"/>
          <w:szCs w:val="22"/>
          <w:lang w:val="fr-FR"/>
        </w:rPr>
        <w:t>projet</w:t>
      </w:r>
      <w:r w:rsidR="00846C8D">
        <w:rPr>
          <w:b w:val="0"/>
          <w:bCs w:val="0"/>
          <w:color w:val="000000" w:themeColor="text1"/>
          <w:szCs w:val="22"/>
          <w:lang w:val="fr-FR"/>
        </w:rPr>
        <w:t xml:space="preserve"> </w:t>
      </w:r>
      <w:r w:rsidRPr="00F8090C">
        <w:rPr>
          <w:b w:val="0"/>
          <w:bCs w:val="0"/>
          <w:color w:val="000000" w:themeColor="text1"/>
          <w:szCs w:val="22"/>
          <w:lang w:val="fr-FR"/>
        </w:rPr>
        <w:t>de référence dans le domaine</w:t>
      </w:r>
      <w:r w:rsidR="00010F98">
        <w:rPr>
          <w:b w:val="0"/>
          <w:bCs w:val="0"/>
          <w:color w:val="000000" w:themeColor="text1"/>
          <w:szCs w:val="22"/>
          <w:lang w:val="fr-FR"/>
        </w:rPr>
        <w:t xml:space="preserve"> </w:t>
      </w:r>
      <w:r w:rsidR="009D67C8" w:rsidRPr="009D67C8">
        <w:rPr>
          <w:color w:val="000000" w:themeColor="text1"/>
          <w:szCs w:val="22"/>
          <w:lang w:val="fr-FR"/>
        </w:rPr>
        <w:t>projets de planification urbaine durable et mise en œuvre opérationnelle</w:t>
      </w:r>
      <w:r w:rsidR="00E34080">
        <w:rPr>
          <w:color w:val="000000" w:themeColor="text1"/>
          <w:szCs w:val="22"/>
          <w:lang w:val="fr-FR"/>
        </w:rPr>
        <w:t>.</w:t>
      </w:r>
    </w:p>
    <w:p w14:paraId="7F2E1C19" w14:textId="76C3468F" w:rsidR="00074A24" w:rsidRPr="00846C8D" w:rsidRDefault="00E34080" w:rsidP="00E87857">
      <w:pPr>
        <w:pStyle w:val="Corpsdetexte"/>
        <w:jc w:val="both"/>
        <w:rPr>
          <w:color w:val="000000" w:themeColor="text1"/>
          <w:szCs w:val="22"/>
          <w:lang w:val="fr-FR"/>
        </w:rPr>
      </w:pPr>
      <w:r>
        <w:rPr>
          <w:color w:val="000000" w:themeColor="text1"/>
          <w:szCs w:val="22"/>
          <w:lang w:val="fr-FR"/>
        </w:rPr>
        <w:t xml:space="preserve"> </w:t>
      </w:r>
    </w:p>
    <w:p w14:paraId="26F8EF42" w14:textId="2E907951"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 </w:t>
      </w:r>
      <w:r w:rsidR="00D60C4C">
        <w:rPr>
          <w:szCs w:val="22"/>
          <w:lang w:val="fr-FR"/>
        </w:rPr>
        <w:t>u</w:t>
      </w:r>
      <w:r w:rsidR="009D67C8">
        <w:rPr>
          <w:szCs w:val="22"/>
          <w:lang w:val="fr-FR"/>
        </w:rPr>
        <w:t>n</w:t>
      </w:r>
      <w:r w:rsidR="00F42342">
        <w:rPr>
          <w:szCs w:val="22"/>
          <w:lang w:val="fr-FR"/>
        </w:rPr>
        <w:t xml:space="preserve"> </w:t>
      </w:r>
      <w:r w:rsidR="00E34080">
        <w:rPr>
          <w:szCs w:val="22"/>
          <w:lang w:val="fr-FR"/>
        </w:rPr>
        <w:t>(</w:t>
      </w:r>
      <w:r w:rsidR="009D67C8">
        <w:rPr>
          <w:szCs w:val="22"/>
          <w:lang w:val="fr-FR"/>
        </w:rPr>
        <w:t>1</w:t>
      </w:r>
      <w:r w:rsidR="00E34080">
        <w:rPr>
          <w:szCs w:val="22"/>
          <w:lang w:val="fr-FR"/>
        </w:rPr>
        <w:t>)</w:t>
      </w:r>
      <w:r w:rsidRPr="00F8090C">
        <w:rPr>
          <w:b w:val="0"/>
          <w:bCs w:val="0"/>
          <w:szCs w:val="22"/>
          <w:lang w:val="fr-FR"/>
        </w:rPr>
        <w:t xml:space="preserve"> </w:t>
      </w:r>
      <w:r w:rsidRPr="00F8090C">
        <w:rPr>
          <w:b w:val="0"/>
          <w:bCs w:val="0"/>
          <w:color w:val="000000" w:themeColor="text1"/>
          <w:szCs w:val="22"/>
          <w:lang w:val="fr-FR"/>
        </w:rPr>
        <w:t xml:space="preserve">projet(s) de </w:t>
      </w:r>
      <w:r w:rsidR="0056065A" w:rsidRPr="00F8090C">
        <w:rPr>
          <w:b w:val="0"/>
          <w:bCs w:val="0"/>
          <w:color w:val="000000" w:themeColor="text1"/>
          <w:szCs w:val="22"/>
          <w:lang w:val="fr-FR"/>
        </w:rPr>
        <w:t xml:space="preserve">référence </w:t>
      </w:r>
      <w:r w:rsidR="0056065A" w:rsidRPr="00F8090C">
        <w:rPr>
          <w:b w:val="0"/>
          <w:bCs w:val="0"/>
          <w:szCs w:val="22"/>
          <w:lang w:val="fr-FR"/>
        </w:rPr>
        <w:t>au</w:t>
      </w:r>
      <w:r w:rsidR="00D60C4C">
        <w:rPr>
          <w:b w:val="0"/>
          <w:bCs w:val="0"/>
          <w:color w:val="000000" w:themeColor="text1"/>
          <w:szCs w:val="22"/>
          <w:lang w:val="fr-FR"/>
        </w:rPr>
        <w:t xml:space="preserve"> </w:t>
      </w:r>
      <w:r w:rsidR="0056065A">
        <w:rPr>
          <w:b w:val="0"/>
          <w:bCs w:val="0"/>
          <w:color w:val="000000" w:themeColor="text1"/>
          <w:szCs w:val="22"/>
          <w:lang w:val="fr-FR"/>
        </w:rPr>
        <w:t xml:space="preserve">Maroc </w:t>
      </w:r>
      <w:r w:rsidR="0056065A" w:rsidRPr="00F8090C">
        <w:rPr>
          <w:b w:val="0"/>
          <w:bCs w:val="0"/>
          <w:color w:val="000000" w:themeColor="text1"/>
          <w:szCs w:val="22"/>
          <w:lang w:val="fr-FR"/>
        </w:rPr>
        <w:t>cours</w:t>
      </w:r>
      <w:r w:rsidRPr="00F8090C">
        <w:rPr>
          <w:b w:val="0"/>
          <w:bCs w:val="0"/>
          <w:color w:val="000000" w:themeColor="text1"/>
          <w:szCs w:val="22"/>
          <w:lang w:val="fr-FR"/>
        </w:rPr>
        <w:t xml:space="preserve">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5" w:name="_Toc91418358"/>
      <w:r w:rsidRPr="00F8090C">
        <w:rPr>
          <w:rStyle w:val="Titre3Car"/>
          <w:lang w:val="fr-FR"/>
        </w:rPr>
        <w:lastRenderedPageBreak/>
        <w:t>Récapitulatif des projets de référence</w:t>
      </w:r>
      <w:bookmarkEnd w:id="5"/>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BC4B2B"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6" w:name="_Toc91418359"/>
      <w:r w:rsidRPr="004013FC">
        <w:rPr>
          <w:lang w:val="fr-FR"/>
        </w:rPr>
        <w:lastRenderedPageBreak/>
        <w:t>Déclaration d’intégrité</w:t>
      </w:r>
      <w:bookmarkEnd w:id="6"/>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7" w:name="_Hlk51341447"/>
      <w:r w:rsidRPr="004013FC">
        <w:rPr>
          <w:rStyle w:val="FontStyle14"/>
          <w:sz w:val="22"/>
          <w:lang w:val="fr-FR"/>
        </w:rPr>
        <w:t>1.4, 1.5 et 1.11</w:t>
      </w:r>
      <w:bookmarkEnd w:id="7"/>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8" w:name="_Hlk51341461"/>
      <w:r w:rsidRPr="004013FC">
        <w:rPr>
          <w:rStyle w:val="FontStyle14"/>
          <w:sz w:val="22"/>
          <w:lang w:val="fr-FR"/>
        </w:rPr>
        <w:t xml:space="preserve">2.1.4 </w:t>
      </w:r>
      <w:bookmarkEnd w:id="8"/>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9" w:name="_Toc29219564"/>
      <w:bookmarkStart w:id="10" w:name="_Toc91418360"/>
      <w:r w:rsidRPr="004013FC">
        <w:rPr>
          <w:lang w:val="fr-FR"/>
        </w:rPr>
        <w:t xml:space="preserve">Primauté des règles propres </w:t>
      </w:r>
      <w:r w:rsidR="00F8090C" w:rsidRPr="004013FC">
        <w:rPr>
          <w:lang w:val="fr-FR"/>
        </w:rPr>
        <w:t>de la GIZ</w:t>
      </w:r>
      <w:bookmarkEnd w:id="9"/>
      <w:bookmarkEnd w:id="10"/>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7256" w14:textId="77777777" w:rsidR="0017498C" w:rsidRDefault="0017498C" w:rsidP="00A637D0">
      <w:r>
        <w:separator/>
      </w:r>
    </w:p>
  </w:endnote>
  <w:endnote w:type="continuationSeparator" w:id="0">
    <w:p w14:paraId="7DD7FADF" w14:textId="77777777" w:rsidR="0017498C" w:rsidRDefault="0017498C"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DCE8" w14:textId="77777777" w:rsidR="0017498C" w:rsidRDefault="0017498C" w:rsidP="00A637D0">
      <w:r>
        <w:separator/>
      </w:r>
    </w:p>
  </w:footnote>
  <w:footnote w:type="continuationSeparator" w:id="0">
    <w:p w14:paraId="1F76E59C" w14:textId="77777777" w:rsidR="0017498C" w:rsidRDefault="0017498C"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BC4B2B"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BC4B2B"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BC4B2B"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107"/>
    <w:rsid w:val="00005AD1"/>
    <w:rsid w:val="00010F98"/>
    <w:rsid w:val="0001316A"/>
    <w:rsid w:val="000304BC"/>
    <w:rsid w:val="000338C6"/>
    <w:rsid w:val="0004694A"/>
    <w:rsid w:val="00047F4A"/>
    <w:rsid w:val="00052ABD"/>
    <w:rsid w:val="000548E6"/>
    <w:rsid w:val="000559A2"/>
    <w:rsid w:val="00074A24"/>
    <w:rsid w:val="00074DAF"/>
    <w:rsid w:val="00083456"/>
    <w:rsid w:val="000A2898"/>
    <w:rsid w:val="000A2FFA"/>
    <w:rsid w:val="000A5C66"/>
    <w:rsid w:val="000B0E75"/>
    <w:rsid w:val="000B478D"/>
    <w:rsid w:val="000C1CE3"/>
    <w:rsid w:val="000E3666"/>
    <w:rsid w:val="000E4B8D"/>
    <w:rsid w:val="000E4FA6"/>
    <w:rsid w:val="000F1C7E"/>
    <w:rsid w:val="000F5592"/>
    <w:rsid w:val="00101577"/>
    <w:rsid w:val="001016E4"/>
    <w:rsid w:val="00101FDB"/>
    <w:rsid w:val="00112883"/>
    <w:rsid w:val="001130BA"/>
    <w:rsid w:val="00113204"/>
    <w:rsid w:val="0011459C"/>
    <w:rsid w:val="00114F6C"/>
    <w:rsid w:val="001222D5"/>
    <w:rsid w:val="00125B43"/>
    <w:rsid w:val="00131B58"/>
    <w:rsid w:val="00131DC6"/>
    <w:rsid w:val="00142010"/>
    <w:rsid w:val="00143B6A"/>
    <w:rsid w:val="00150FD8"/>
    <w:rsid w:val="00152257"/>
    <w:rsid w:val="00165B91"/>
    <w:rsid w:val="00165E31"/>
    <w:rsid w:val="0017498C"/>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7C37"/>
    <w:rsid w:val="0025197C"/>
    <w:rsid w:val="002532B6"/>
    <w:rsid w:val="002553F5"/>
    <w:rsid w:val="00257A62"/>
    <w:rsid w:val="00257E01"/>
    <w:rsid w:val="00260630"/>
    <w:rsid w:val="002616A5"/>
    <w:rsid w:val="00270A19"/>
    <w:rsid w:val="0027290F"/>
    <w:rsid w:val="00275854"/>
    <w:rsid w:val="00275F2B"/>
    <w:rsid w:val="002840F5"/>
    <w:rsid w:val="0028645D"/>
    <w:rsid w:val="00287635"/>
    <w:rsid w:val="00293310"/>
    <w:rsid w:val="00293D55"/>
    <w:rsid w:val="00294602"/>
    <w:rsid w:val="00295C25"/>
    <w:rsid w:val="002975F6"/>
    <w:rsid w:val="002A379A"/>
    <w:rsid w:val="002A4265"/>
    <w:rsid w:val="002A5808"/>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67CC"/>
    <w:rsid w:val="003C31A1"/>
    <w:rsid w:val="003C3527"/>
    <w:rsid w:val="003C6FDC"/>
    <w:rsid w:val="003D266E"/>
    <w:rsid w:val="003D4AB9"/>
    <w:rsid w:val="003F6EC9"/>
    <w:rsid w:val="003F7303"/>
    <w:rsid w:val="004013FC"/>
    <w:rsid w:val="004023DF"/>
    <w:rsid w:val="004072B8"/>
    <w:rsid w:val="00415BA6"/>
    <w:rsid w:val="004419BF"/>
    <w:rsid w:val="004435ED"/>
    <w:rsid w:val="004511CA"/>
    <w:rsid w:val="00454DB9"/>
    <w:rsid w:val="004555BF"/>
    <w:rsid w:val="00457036"/>
    <w:rsid w:val="0045739A"/>
    <w:rsid w:val="004632C3"/>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41BD"/>
    <w:rsid w:val="005350F8"/>
    <w:rsid w:val="00545EBA"/>
    <w:rsid w:val="00553FC0"/>
    <w:rsid w:val="00556EAD"/>
    <w:rsid w:val="00560342"/>
    <w:rsid w:val="0056065A"/>
    <w:rsid w:val="005658DB"/>
    <w:rsid w:val="00574E69"/>
    <w:rsid w:val="005875AF"/>
    <w:rsid w:val="005A05F7"/>
    <w:rsid w:val="005B0C54"/>
    <w:rsid w:val="005B3D97"/>
    <w:rsid w:val="005C11A9"/>
    <w:rsid w:val="005D18E7"/>
    <w:rsid w:val="005D500F"/>
    <w:rsid w:val="005D60B4"/>
    <w:rsid w:val="005D77FC"/>
    <w:rsid w:val="005E0A0F"/>
    <w:rsid w:val="005F4A8D"/>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86828"/>
    <w:rsid w:val="0069220B"/>
    <w:rsid w:val="00694737"/>
    <w:rsid w:val="00696B10"/>
    <w:rsid w:val="006B4708"/>
    <w:rsid w:val="006C3411"/>
    <w:rsid w:val="006C701D"/>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A14C8"/>
    <w:rsid w:val="007B14B5"/>
    <w:rsid w:val="007B15CD"/>
    <w:rsid w:val="007C2451"/>
    <w:rsid w:val="007D1F6F"/>
    <w:rsid w:val="007D416C"/>
    <w:rsid w:val="007D626A"/>
    <w:rsid w:val="007D6FB7"/>
    <w:rsid w:val="007E0EC4"/>
    <w:rsid w:val="007F53DB"/>
    <w:rsid w:val="008018D8"/>
    <w:rsid w:val="008071C6"/>
    <w:rsid w:val="00824179"/>
    <w:rsid w:val="00840C47"/>
    <w:rsid w:val="00840C61"/>
    <w:rsid w:val="00845E5A"/>
    <w:rsid w:val="00846C8D"/>
    <w:rsid w:val="008472EF"/>
    <w:rsid w:val="00847F0B"/>
    <w:rsid w:val="008564C5"/>
    <w:rsid w:val="00856CFA"/>
    <w:rsid w:val="008710E3"/>
    <w:rsid w:val="00871B10"/>
    <w:rsid w:val="008761AD"/>
    <w:rsid w:val="00880B21"/>
    <w:rsid w:val="00882D2F"/>
    <w:rsid w:val="0088460C"/>
    <w:rsid w:val="008964DD"/>
    <w:rsid w:val="00896D85"/>
    <w:rsid w:val="008A634C"/>
    <w:rsid w:val="008B1997"/>
    <w:rsid w:val="008B7244"/>
    <w:rsid w:val="008C00BE"/>
    <w:rsid w:val="008D4B06"/>
    <w:rsid w:val="008D5A9C"/>
    <w:rsid w:val="008E07D4"/>
    <w:rsid w:val="009025FE"/>
    <w:rsid w:val="009056B1"/>
    <w:rsid w:val="00905B81"/>
    <w:rsid w:val="00914472"/>
    <w:rsid w:val="009239DC"/>
    <w:rsid w:val="009421DC"/>
    <w:rsid w:val="00942857"/>
    <w:rsid w:val="009440BB"/>
    <w:rsid w:val="00957D5A"/>
    <w:rsid w:val="00960432"/>
    <w:rsid w:val="00964A05"/>
    <w:rsid w:val="00967801"/>
    <w:rsid w:val="00994A1D"/>
    <w:rsid w:val="009A13D5"/>
    <w:rsid w:val="009B0BA2"/>
    <w:rsid w:val="009C7098"/>
    <w:rsid w:val="009C759A"/>
    <w:rsid w:val="009D33C1"/>
    <w:rsid w:val="009D67C8"/>
    <w:rsid w:val="009E4E08"/>
    <w:rsid w:val="009E7E71"/>
    <w:rsid w:val="009F0636"/>
    <w:rsid w:val="009F1656"/>
    <w:rsid w:val="00A00268"/>
    <w:rsid w:val="00A03C19"/>
    <w:rsid w:val="00A10620"/>
    <w:rsid w:val="00A11BEF"/>
    <w:rsid w:val="00A13972"/>
    <w:rsid w:val="00A319CC"/>
    <w:rsid w:val="00A33934"/>
    <w:rsid w:val="00A43ABF"/>
    <w:rsid w:val="00A454D1"/>
    <w:rsid w:val="00A637D0"/>
    <w:rsid w:val="00A64890"/>
    <w:rsid w:val="00A66242"/>
    <w:rsid w:val="00A71D28"/>
    <w:rsid w:val="00A73771"/>
    <w:rsid w:val="00A85F0D"/>
    <w:rsid w:val="00A95A9F"/>
    <w:rsid w:val="00A9759A"/>
    <w:rsid w:val="00AA0BB3"/>
    <w:rsid w:val="00AA3807"/>
    <w:rsid w:val="00AA445D"/>
    <w:rsid w:val="00AB192E"/>
    <w:rsid w:val="00AB4724"/>
    <w:rsid w:val="00AB5A05"/>
    <w:rsid w:val="00AC0E75"/>
    <w:rsid w:val="00AC2FA8"/>
    <w:rsid w:val="00AD7EB8"/>
    <w:rsid w:val="00AE6941"/>
    <w:rsid w:val="00AF5780"/>
    <w:rsid w:val="00B03AC9"/>
    <w:rsid w:val="00B23658"/>
    <w:rsid w:val="00B23934"/>
    <w:rsid w:val="00B24A1B"/>
    <w:rsid w:val="00B3773F"/>
    <w:rsid w:val="00B4421F"/>
    <w:rsid w:val="00B4737B"/>
    <w:rsid w:val="00B5388E"/>
    <w:rsid w:val="00B63C7E"/>
    <w:rsid w:val="00B71110"/>
    <w:rsid w:val="00B74287"/>
    <w:rsid w:val="00B770F7"/>
    <w:rsid w:val="00B805D3"/>
    <w:rsid w:val="00B80CAA"/>
    <w:rsid w:val="00B80DAF"/>
    <w:rsid w:val="00B86CC5"/>
    <w:rsid w:val="00B920F5"/>
    <w:rsid w:val="00B92A68"/>
    <w:rsid w:val="00B92EA4"/>
    <w:rsid w:val="00B93A2B"/>
    <w:rsid w:val="00B969D6"/>
    <w:rsid w:val="00B96EDD"/>
    <w:rsid w:val="00BA06E5"/>
    <w:rsid w:val="00BB1AD9"/>
    <w:rsid w:val="00BB2B62"/>
    <w:rsid w:val="00BC2A12"/>
    <w:rsid w:val="00BC3FE3"/>
    <w:rsid w:val="00BC4B2B"/>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A46F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0C4C"/>
    <w:rsid w:val="00D61B43"/>
    <w:rsid w:val="00D667BB"/>
    <w:rsid w:val="00D67C9D"/>
    <w:rsid w:val="00D915D5"/>
    <w:rsid w:val="00DA3266"/>
    <w:rsid w:val="00DB1469"/>
    <w:rsid w:val="00DC39FE"/>
    <w:rsid w:val="00DC5A37"/>
    <w:rsid w:val="00DD48B5"/>
    <w:rsid w:val="00DD592E"/>
    <w:rsid w:val="00DD658A"/>
    <w:rsid w:val="00DE0892"/>
    <w:rsid w:val="00DE3C1A"/>
    <w:rsid w:val="00DE6D89"/>
    <w:rsid w:val="00DE7D2A"/>
    <w:rsid w:val="00DE7E67"/>
    <w:rsid w:val="00DF6E8E"/>
    <w:rsid w:val="00E00A39"/>
    <w:rsid w:val="00E00C22"/>
    <w:rsid w:val="00E17E99"/>
    <w:rsid w:val="00E2052D"/>
    <w:rsid w:val="00E26540"/>
    <w:rsid w:val="00E271D5"/>
    <w:rsid w:val="00E30D70"/>
    <w:rsid w:val="00E32D51"/>
    <w:rsid w:val="00E34080"/>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BC2"/>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03A31"/>
    <w:rsid w:val="00F05B28"/>
    <w:rsid w:val="00F147C6"/>
    <w:rsid w:val="00F16E21"/>
    <w:rsid w:val="00F16F42"/>
    <w:rsid w:val="00F2243E"/>
    <w:rsid w:val="00F22843"/>
    <w:rsid w:val="00F23258"/>
    <w:rsid w:val="00F2590A"/>
    <w:rsid w:val="00F42342"/>
    <w:rsid w:val="00F8090C"/>
    <w:rsid w:val="00F81087"/>
    <w:rsid w:val="00F96761"/>
    <w:rsid w:val="00FA0578"/>
    <w:rsid w:val="00FA7E09"/>
    <w:rsid w:val="00FB21AF"/>
    <w:rsid w:val="00FB2A41"/>
    <w:rsid w:val="00FB2B83"/>
    <w:rsid w:val="00FC5121"/>
    <w:rsid w:val="00FD0CDF"/>
    <w:rsid w:val="00FD3362"/>
    <w:rsid w:val="00FE1BCE"/>
    <w:rsid w:val="00FF0786"/>
    <w:rsid w:val="00FF48F9"/>
    <w:rsid w:val="08117637"/>
    <w:rsid w:val="103B7EE1"/>
    <w:rsid w:val="21FB24BE"/>
    <w:rsid w:val="5BE5EF39"/>
    <w:rsid w:val="5EDD95A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fb9f3c-b134-4d58-bd8b-6641a08e8ed7" xsi:nil="true"/>
    <lcf76f155ced4ddcb4097134ff3c332f xmlns="00234caa-62c6-4e57-81ad-a8a497e5b4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5" ma:contentTypeDescription="Ein neues Dokument erstellen." ma:contentTypeScope="" ma:versionID="18e601640a1a59902099c0bd24121cae">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18208ce24afa417f4f4ede13cfbb02af" ns2:_="" ns3:_="">
    <xsd:import namespace="00234caa-62c6-4e57-81ad-a8a497e5b443"/>
    <xsd:import namespace="6efb9f3c-b134-4d58-bd8b-6641a08e8e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b5beb6-a063-43c4-b2df-8fd414893c39}" ma:internalName="TaxCatchAll" ma:showField="CatchAllData" ma:web="6efb9f3c-b134-4d58-bd8b-6641a08e8e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2.xml><?xml version="1.0" encoding="utf-8"?>
<ds:datastoreItem xmlns:ds="http://schemas.openxmlformats.org/officeDocument/2006/customXml" ds:itemID="{B80F0FE2-0275-470D-9133-C1438905EB21}">
  <ds:schemaRefs>
    <ds:schemaRef ds:uri="http://schemas.microsoft.com/sharepoint/v3/contenttype/forms"/>
  </ds:schemaRefs>
</ds:datastoreItem>
</file>

<file path=customXml/itemProps3.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145653cc-e818-4302-a302-e79dbb514206"/>
    <ds:schemaRef ds:uri="9d6878c9-d5b2-4ab9-9375-a4a2a1c5a04a"/>
    <ds:schemaRef ds:uri="6efb9f3c-b134-4d58-bd8b-6641a08e8ed7"/>
    <ds:schemaRef ds:uri="00234caa-62c6-4e57-81ad-a8a497e5b443"/>
  </ds:schemaRefs>
</ds:datastoreItem>
</file>

<file path=customXml/itemProps4.xml><?xml version="1.0" encoding="utf-8"?>
<ds:datastoreItem xmlns:ds="http://schemas.openxmlformats.org/officeDocument/2006/customXml" ds:itemID="{BEF73AA3-ED63-4606-85D2-794AF1411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1827</Words>
  <Characters>10049</Characters>
  <Application>Microsoft Office Word</Application>
  <DocSecurity>0</DocSecurity>
  <Lines>83</Lines>
  <Paragraphs>23</Paragraphs>
  <ScaleCrop>false</ScaleCrop>
  <Company>GIZ GmbH</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BENHALIMA, Ayoub GIZ MA</cp:lastModifiedBy>
  <cp:revision>7</cp:revision>
  <cp:lastPrinted>2018-02-16T12:47:00Z</cp:lastPrinted>
  <dcterms:created xsi:type="dcterms:W3CDTF">2026-03-02T15:48:00Z</dcterms:created>
  <dcterms:modified xsi:type="dcterms:W3CDTF">2026-04-01T14:40:00Z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0x01010058F9B91F74902E44B12417CE2F00E3D2</vt:lpwstr>
  </property>
  <property fmtid="{D5CDD505-2E9C-101B-9397-08002B2CF9AE}" pid="3" name="_dlc_DocIdItemGuid">
    <vt:lpwstr>020d3dcf-d57c-4c78-99d2-4393cb2b4221</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