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6E8D" w14:textId="7DC14804" w:rsidR="002E49AA" w:rsidRDefault="009B0F05" w:rsidP="009B0F05">
      <w:pPr>
        <w:jc w:val="both"/>
        <w:rPr>
          <w:rFonts w:asciiTheme="majorBidi" w:hAnsiTheme="majorBidi" w:cstheme="majorBidi"/>
          <w:b/>
          <w:bCs/>
          <w:sz w:val="28"/>
          <w:szCs w:val="28"/>
        </w:rPr>
      </w:pPr>
      <w:r w:rsidRPr="009B0F05">
        <w:rPr>
          <w:rFonts w:asciiTheme="majorBidi" w:hAnsiTheme="majorBidi" w:cstheme="majorBidi"/>
          <w:b/>
          <w:bCs/>
          <w:sz w:val="28"/>
          <w:szCs w:val="28"/>
        </w:rPr>
        <w:t>GREPOM/BirdLife Maroc recrute un expert pour l’élaboration de la stratégie de l’Alliance Marocaine des Zones Humides et la formation en planification stratégique</w:t>
      </w:r>
    </w:p>
    <w:p w14:paraId="15C19FD0" w14:textId="77777777" w:rsidR="009B0F05" w:rsidRDefault="009B0F05" w:rsidP="009B0F05"/>
    <w:p w14:paraId="4986401F" w14:textId="77777777" w:rsidR="00CC2C6B" w:rsidRPr="00CC2C6B" w:rsidRDefault="00CC2C6B" w:rsidP="00CC2C6B">
      <w:pPr>
        <w:rPr>
          <w:rFonts w:asciiTheme="majorBidi" w:hAnsiTheme="majorBidi" w:cstheme="majorBidi"/>
          <w:sz w:val="24"/>
          <w:szCs w:val="24"/>
        </w:rPr>
      </w:pPr>
      <w:r w:rsidRPr="00CC2C6B">
        <w:rPr>
          <w:rFonts w:asciiTheme="majorBidi" w:hAnsiTheme="majorBidi" w:cstheme="majorBidi"/>
          <w:b/>
          <w:bCs/>
          <w:sz w:val="24"/>
          <w:szCs w:val="24"/>
        </w:rPr>
        <w:t>Type de contrat :</w:t>
      </w:r>
      <w:r w:rsidRPr="00CC2C6B">
        <w:rPr>
          <w:rFonts w:asciiTheme="majorBidi" w:hAnsiTheme="majorBidi" w:cstheme="majorBidi"/>
          <w:sz w:val="24"/>
          <w:szCs w:val="24"/>
        </w:rPr>
        <w:t xml:space="preserve"> Consultant</w:t>
      </w:r>
    </w:p>
    <w:p w14:paraId="7C810A17" w14:textId="46F2ACC1" w:rsidR="005B278D" w:rsidRDefault="00CC2C6B" w:rsidP="00CC2C6B">
      <w:pPr>
        <w:rPr>
          <w:rFonts w:asciiTheme="majorBidi" w:hAnsiTheme="majorBidi" w:cstheme="majorBidi"/>
          <w:sz w:val="24"/>
          <w:szCs w:val="24"/>
        </w:rPr>
      </w:pPr>
      <w:r w:rsidRPr="00CC2C6B">
        <w:rPr>
          <w:rFonts w:asciiTheme="majorBidi" w:hAnsiTheme="majorBidi" w:cstheme="majorBidi"/>
          <w:b/>
          <w:bCs/>
          <w:sz w:val="24"/>
          <w:szCs w:val="24"/>
        </w:rPr>
        <w:t>Date limite de réception de dossiers</w:t>
      </w:r>
      <w:r w:rsidRPr="00CC2C6B">
        <w:rPr>
          <w:rFonts w:asciiTheme="majorBidi" w:hAnsiTheme="majorBidi" w:cstheme="majorBidi"/>
          <w:sz w:val="24"/>
          <w:szCs w:val="24"/>
        </w:rPr>
        <w:t xml:space="preserve"> </w:t>
      </w:r>
      <w:r w:rsidRPr="00CC2C6B">
        <w:rPr>
          <w:rFonts w:asciiTheme="majorBidi" w:hAnsiTheme="majorBidi" w:cstheme="majorBidi"/>
          <w:b/>
          <w:bCs/>
          <w:sz w:val="24"/>
          <w:szCs w:val="24"/>
        </w:rPr>
        <w:t>:</w:t>
      </w:r>
      <w:r w:rsidRPr="00CC2C6B">
        <w:rPr>
          <w:rFonts w:asciiTheme="majorBidi" w:hAnsiTheme="majorBidi" w:cstheme="majorBidi"/>
          <w:sz w:val="24"/>
          <w:szCs w:val="24"/>
        </w:rPr>
        <w:t> </w:t>
      </w:r>
      <w:r>
        <w:rPr>
          <w:rFonts w:asciiTheme="majorBidi" w:hAnsiTheme="majorBidi" w:cstheme="majorBidi"/>
          <w:sz w:val="24"/>
          <w:szCs w:val="24"/>
        </w:rPr>
        <w:t>02 février 2026</w:t>
      </w:r>
    </w:p>
    <w:p w14:paraId="001A609A" w14:textId="77777777" w:rsidR="008A2BCD" w:rsidRPr="00CC2C6B" w:rsidRDefault="008A2BCD" w:rsidP="00CC2C6B">
      <w:pPr>
        <w:rPr>
          <w:rFonts w:asciiTheme="majorBidi" w:hAnsiTheme="majorBidi" w:cstheme="majorBidi"/>
          <w:sz w:val="24"/>
          <w:szCs w:val="24"/>
        </w:rPr>
      </w:pPr>
    </w:p>
    <w:p w14:paraId="5638E24D" w14:textId="08330ED1" w:rsidR="002E49AA" w:rsidRPr="002E49AA" w:rsidRDefault="002E49AA" w:rsidP="002E49AA">
      <w:pPr>
        <w:rPr>
          <w:rFonts w:asciiTheme="majorBidi" w:hAnsiTheme="majorBidi" w:cstheme="majorBidi"/>
          <w:b/>
          <w:bCs/>
          <w:sz w:val="26"/>
          <w:szCs w:val="26"/>
        </w:rPr>
      </w:pPr>
      <w:r w:rsidRPr="002E49AA">
        <w:rPr>
          <w:rFonts w:asciiTheme="majorBidi" w:hAnsiTheme="majorBidi" w:cstheme="majorBidi"/>
          <w:b/>
          <w:bCs/>
          <w:sz w:val="26"/>
          <w:szCs w:val="26"/>
        </w:rPr>
        <w:t>1. Contexte et justification</w:t>
      </w:r>
      <w:r w:rsidR="009C3FF5">
        <w:rPr>
          <w:rFonts w:asciiTheme="majorBidi" w:hAnsiTheme="majorBidi" w:cstheme="majorBidi"/>
          <w:b/>
          <w:bCs/>
          <w:sz w:val="26"/>
          <w:szCs w:val="26"/>
        </w:rPr>
        <w:t xml:space="preserve"> </w:t>
      </w:r>
    </w:p>
    <w:p w14:paraId="25D32F30" w14:textId="31C61D27" w:rsidR="009755DA" w:rsidRPr="002E49AA" w:rsidRDefault="009755DA" w:rsidP="009F45C2">
      <w:pPr>
        <w:spacing w:line="276" w:lineRule="auto"/>
        <w:jc w:val="both"/>
        <w:rPr>
          <w:rFonts w:asciiTheme="majorBidi" w:hAnsiTheme="majorBidi" w:cstheme="majorBidi"/>
          <w:sz w:val="24"/>
          <w:szCs w:val="24"/>
        </w:rPr>
      </w:pPr>
      <w:r w:rsidRPr="009755DA">
        <w:rPr>
          <w:rFonts w:asciiTheme="majorBidi" w:hAnsiTheme="majorBidi" w:cstheme="majorBidi"/>
          <w:sz w:val="24"/>
          <w:szCs w:val="24"/>
        </w:rPr>
        <w:t>Les zones humides constituent des écosystèmes stratégiques pour la biodiversité, la sécurité hydrique, l’atténuation et l’adaptation au changement climatique, ainsi que pour le développement socio-économique durable. Au Maroc, malgré l’engagement du pays à travers plusieurs conventions internationales, notamment la Convention de Ramsar, ces écosystèmes subissent une dégradation continue liée aux pressions anthropiques, au changement climatique et à une gouvernance encore fragmentée.</w:t>
      </w:r>
    </w:p>
    <w:p w14:paraId="32958943" w14:textId="7EA6B593" w:rsidR="009755DA" w:rsidRPr="002E49AA" w:rsidRDefault="009755DA" w:rsidP="009F45C2">
      <w:pPr>
        <w:spacing w:line="276" w:lineRule="auto"/>
        <w:jc w:val="both"/>
        <w:rPr>
          <w:rFonts w:asciiTheme="majorBidi" w:hAnsiTheme="majorBidi" w:cstheme="majorBidi"/>
          <w:sz w:val="24"/>
          <w:szCs w:val="24"/>
        </w:rPr>
      </w:pPr>
      <w:r w:rsidRPr="009755DA">
        <w:rPr>
          <w:rFonts w:asciiTheme="majorBidi" w:hAnsiTheme="majorBidi" w:cstheme="majorBidi"/>
          <w:sz w:val="24"/>
          <w:szCs w:val="24"/>
        </w:rPr>
        <w:t>Face à ces défis, plusieurs organisations de la société civile marocaines actives dans la conservation, la gestion durable et la valorisation des zones humides ont engagé</w:t>
      </w:r>
      <w:r w:rsidR="00AF317F">
        <w:rPr>
          <w:rFonts w:asciiTheme="majorBidi" w:hAnsiTheme="majorBidi" w:cstheme="majorBidi"/>
          <w:sz w:val="24"/>
          <w:szCs w:val="24"/>
        </w:rPr>
        <w:t xml:space="preserve"> et signé</w:t>
      </w:r>
      <w:r w:rsidRPr="009755DA">
        <w:rPr>
          <w:rFonts w:asciiTheme="majorBidi" w:hAnsiTheme="majorBidi" w:cstheme="majorBidi"/>
          <w:sz w:val="24"/>
          <w:szCs w:val="24"/>
        </w:rPr>
        <w:t xml:space="preserve">, une dynamique de coordination et de collaboration à travers la Plateforme Marocaine pour les Zones Humides (PMZH). Cette plateforme, portée notamment par GREPOM/BirdLife Maroc, </w:t>
      </w:r>
      <w:r w:rsidR="00E832D0" w:rsidRPr="00E832D0">
        <w:rPr>
          <w:rFonts w:asciiTheme="majorBidi" w:hAnsiTheme="majorBidi" w:cstheme="majorBidi"/>
          <w:sz w:val="24"/>
          <w:szCs w:val="24"/>
        </w:rPr>
        <w:t>vise</w:t>
      </w:r>
      <w:r w:rsidRPr="00E832D0">
        <w:rPr>
          <w:rFonts w:asciiTheme="majorBidi" w:hAnsiTheme="majorBidi" w:cstheme="majorBidi"/>
          <w:sz w:val="24"/>
          <w:szCs w:val="24"/>
        </w:rPr>
        <w:t xml:space="preserve"> </w:t>
      </w:r>
      <w:r w:rsidR="00E832D0" w:rsidRPr="00E832D0">
        <w:rPr>
          <w:rFonts w:asciiTheme="majorBidi" w:hAnsiTheme="majorBidi" w:cstheme="majorBidi"/>
          <w:sz w:val="24"/>
          <w:szCs w:val="24"/>
        </w:rPr>
        <w:t>à</w:t>
      </w:r>
      <w:r w:rsidRPr="00E832D0">
        <w:rPr>
          <w:rFonts w:asciiTheme="majorBidi" w:hAnsiTheme="majorBidi" w:cstheme="majorBidi"/>
          <w:sz w:val="24"/>
          <w:szCs w:val="24"/>
        </w:rPr>
        <w:t xml:space="preserve"> renforcer le dialogue entre acteurs, mutualiser les expertises et initier des actions concertées de plaidoyer et de sensibilisation à l’échelle nationale.</w:t>
      </w:r>
    </w:p>
    <w:p w14:paraId="6814B8F7" w14:textId="76430319" w:rsidR="002E49AA" w:rsidRDefault="002E49AA" w:rsidP="009F45C2">
      <w:pPr>
        <w:spacing w:line="276" w:lineRule="auto"/>
        <w:jc w:val="both"/>
        <w:rPr>
          <w:rFonts w:asciiTheme="majorBidi" w:hAnsiTheme="majorBidi" w:cstheme="majorBidi"/>
          <w:sz w:val="24"/>
          <w:szCs w:val="24"/>
        </w:rPr>
      </w:pPr>
      <w:r w:rsidRPr="002E49AA">
        <w:rPr>
          <w:rFonts w:asciiTheme="majorBidi" w:hAnsiTheme="majorBidi" w:cstheme="majorBidi"/>
          <w:sz w:val="24"/>
          <w:szCs w:val="24"/>
        </w:rPr>
        <w:t xml:space="preserve">Afin de consolider ces acquis et de renforcer leur impact, les organisations membres ont décidé de se structurer officiellement en une Alliance Marocaine des Zones Humides, composée actuellement de </w:t>
      </w:r>
      <w:r w:rsidR="005B278D" w:rsidRPr="005B278D">
        <w:rPr>
          <w:rFonts w:asciiTheme="majorBidi" w:hAnsiTheme="majorBidi" w:cstheme="majorBidi"/>
          <w:sz w:val="24"/>
          <w:szCs w:val="24"/>
        </w:rPr>
        <w:t>huit</w:t>
      </w:r>
      <w:r w:rsidRPr="002E49AA">
        <w:rPr>
          <w:rFonts w:asciiTheme="majorBidi" w:hAnsiTheme="majorBidi" w:cstheme="majorBidi"/>
          <w:sz w:val="24"/>
          <w:szCs w:val="24"/>
        </w:rPr>
        <w:t xml:space="preserve"> associations et réseaux nationaux reconnus. Toutefois, l’Alliance ne dispose pas encore d’une stratégie formalisée et partagée, ni de capacités internes suffisantes en matière de planification stratégique.</w:t>
      </w:r>
    </w:p>
    <w:p w14:paraId="7E08D111" w14:textId="168F6936" w:rsidR="002E49AA" w:rsidRPr="002E49AA" w:rsidRDefault="002E49AA" w:rsidP="009F45C2">
      <w:pPr>
        <w:spacing w:line="276" w:lineRule="auto"/>
        <w:jc w:val="both"/>
        <w:rPr>
          <w:rFonts w:asciiTheme="majorBidi" w:hAnsiTheme="majorBidi" w:cstheme="majorBidi"/>
          <w:sz w:val="24"/>
          <w:szCs w:val="24"/>
        </w:rPr>
      </w:pPr>
      <w:r w:rsidRPr="002E49AA">
        <w:rPr>
          <w:rFonts w:asciiTheme="majorBidi" w:hAnsiTheme="majorBidi" w:cstheme="majorBidi"/>
          <w:sz w:val="24"/>
          <w:szCs w:val="24"/>
        </w:rPr>
        <w:t xml:space="preserve">Dans ce contexte, </w:t>
      </w:r>
      <w:r w:rsidR="005B278D">
        <w:rPr>
          <w:rFonts w:asciiTheme="majorBidi" w:hAnsiTheme="majorBidi" w:cstheme="majorBidi"/>
          <w:sz w:val="24"/>
          <w:szCs w:val="24"/>
        </w:rPr>
        <w:t>GREPOM/BirdLife-Maroc</w:t>
      </w:r>
      <w:r w:rsidRPr="002E49AA">
        <w:rPr>
          <w:rFonts w:asciiTheme="majorBidi" w:hAnsiTheme="majorBidi" w:cstheme="majorBidi"/>
          <w:sz w:val="24"/>
          <w:szCs w:val="24"/>
        </w:rPr>
        <w:t xml:space="preserve"> prévoit le recrutement d’un(e) consultant(e) pour accompagner l’Alliance dans l’élaboration de sa stratégie quinquennale, incluant un plan d’action opérationnel, et pour former les membres à la planification stratégique, afin d’assurer l’appropriation, la durabilité et l’efficacité du processus.</w:t>
      </w:r>
    </w:p>
    <w:p w14:paraId="2197B475" w14:textId="1A8C8C75" w:rsidR="002E49AA" w:rsidRPr="002E49AA" w:rsidRDefault="002E49AA" w:rsidP="009F45C2">
      <w:pPr>
        <w:spacing w:line="276" w:lineRule="auto"/>
        <w:jc w:val="both"/>
        <w:rPr>
          <w:rFonts w:asciiTheme="majorBidi" w:hAnsiTheme="majorBidi" w:cstheme="majorBidi"/>
          <w:b/>
          <w:bCs/>
          <w:sz w:val="26"/>
          <w:szCs w:val="26"/>
        </w:rPr>
      </w:pPr>
      <w:r w:rsidRPr="002E49AA">
        <w:rPr>
          <w:rFonts w:asciiTheme="majorBidi" w:hAnsiTheme="majorBidi" w:cstheme="majorBidi"/>
          <w:b/>
          <w:bCs/>
          <w:sz w:val="26"/>
          <w:szCs w:val="26"/>
        </w:rPr>
        <w:t>2. Objectif de la mission</w:t>
      </w:r>
    </w:p>
    <w:p w14:paraId="0E2400E1" w14:textId="5521343E" w:rsidR="00EA1C69" w:rsidRDefault="00EA1C69" w:rsidP="009F45C2">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2E49AA" w:rsidRPr="002E49AA">
        <w:rPr>
          <w:rFonts w:asciiTheme="majorBidi" w:hAnsiTheme="majorBidi" w:cstheme="majorBidi"/>
          <w:sz w:val="24"/>
          <w:szCs w:val="24"/>
        </w:rPr>
        <w:t>Accompagner l’Alliance Marocaine des Zones Humides dans l’élaboration participative de sa stratégie quinquennale</w:t>
      </w:r>
      <w:r w:rsidR="002123FC">
        <w:rPr>
          <w:rFonts w:asciiTheme="majorBidi" w:hAnsiTheme="majorBidi" w:cstheme="majorBidi"/>
          <w:sz w:val="24"/>
          <w:szCs w:val="24"/>
        </w:rPr>
        <w:t> ;</w:t>
      </w:r>
    </w:p>
    <w:p w14:paraId="20997335" w14:textId="37F1AECA" w:rsidR="002E49AA" w:rsidRPr="002E49AA" w:rsidRDefault="00EA1C69" w:rsidP="009F45C2">
      <w:pPr>
        <w:spacing w:line="276" w:lineRule="auto"/>
        <w:jc w:val="both"/>
        <w:rPr>
          <w:rFonts w:asciiTheme="majorBidi" w:hAnsiTheme="majorBidi" w:cstheme="majorBidi"/>
          <w:sz w:val="24"/>
          <w:szCs w:val="24"/>
        </w:rPr>
      </w:pPr>
      <w:r>
        <w:rPr>
          <w:rFonts w:asciiTheme="majorBidi" w:hAnsiTheme="majorBidi" w:cstheme="majorBidi"/>
          <w:sz w:val="24"/>
          <w:szCs w:val="24"/>
        </w:rPr>
        <w:t>- R</w:t>
      </w:r>
      <w:r w:rsidR="002E49AA" w:rsidRPr="002E49AA">
        <w:rPr>
          <w:rFonts w:asciiTheme="majorBidi" w:hAnsiTheme="majorBidi" w:cstheme="majorBidi"/>
          <w:sz w:val="24"/>
          <w:szCs w:val="24"/>
        </w:rPr>
        <w:t>enforcer les capacités de ses membres en matière de planification stratégique.</w:t>
      </w:r>
    </w:p>
    <w:p w14:paraId="2F65171C" w14:textId="17FBDC4E" w:rsidR="002E49AA" w:rsidRPr="002E49AA" w:rsidRDefault="009C3FF5" w:rsidP="002E49AA">
      <w:pPr>
        <w:rPr>
          <w:rFonts w:asciiTheme="majorBidi" w:hAnsiTheme="majorBidi" w:cstheme="majorBidi"/>
          <w:b/>
          <w:bCs/>
          <w:sz w:val="26"/>
          <w:szCs w:val="26"/>
        </w:rPr>
      </w:pPr>
      <w:r>
        <w:rPr>
          <w:rFonts w:asciiTheme="majorBidi" w:hAnsiTheme="majorBidi" w:cstheme="majorBidi"/>
          <w:b/>
          <w:bCs/>
          <w:sz w:val="26"/>
          <w:szCs w:val="26"/>
        </w:rPr>
        <w:t>3</w:t>
      </w:r>
      <w:r w:rsidR="002E49AA" w:rsidRPr="002E49AA">
        <w:rPr>
          <w:rFonts w:asciiTheme="majorBidi" w:hAnsiTheme="majorBidi" w:cstheme="majorBidi"/>
          <w:b/>
          <w:bCs/>
          <w:sz w:val="26"/>
          <w:szCs w:val="26"/>
        </w:rPr>
        <w:t>. Portée de la mission et tâches du/de la consultant(e)</w:t>
      </w:r>
    </w:p>
    <w:p w14:paraId="409B0CDA" w14:textId="0EF8AD1E" w:rsidR="009C3FF5" w:rsidRPr="002E49AA" w:rsidRDefault="002E49AA" w:rsidP="008A2BCD">
      <w:pPr>
        <w:rPr>
          <w:rFonts w:asciiTheme="majorBidi" w:hAnsiTheme="majorBidi" w:cstheme="majorBidi"/>
          <w:sz w:val="24"/>
          <w:szCs w:val="24"/>
        </w:rPr>
      </w:pPr>
      <w:r w:rsidRPr="002E49AA">
        <w:rPr>
          <w:rFonts w:asciiTheme="majorBidi" w:hAnsiTheme="majorBidi" w:cstheme="majorBidi"/>
          <w:sz w:val="24"/>
          <w:szCs w:val="24"/>
        </w:rPr>
        <w:lastRenderedPageBreak/>
        <w:t>Le/la consultant(e) sera chargé(e) des tâches suivantes :</w:t>
      </w:r>
    </w:p>
    <w:p w14:paraId="7977AEB9" w14:textId="7F132BA2" w:rsidR="002E49AA" w:rsidRPr="002E49AA" w:rsidRDefault="009C3FF5" w:rsidP="002E49AA">
      <w:pPr>
        <w:rPr>
          <w:rFonts w:asciiTheme="majorBidi" w:hAnsiTheme="majorBidi" w:cstheme="majorBidi"/>
          <w:b/>
          <w:bCs/>
          <w:sz w:val="24"/>
          <w:szCs w:val="24"/>
        </w:rPr>
      </w:pPr>
      <w:r>
        <w:rPr>
          <w:rFonts w:asciiTheme="majorBidi" w:hAnsiTheme="majorBidi" w:cstheme="majorBidi"/>
          <w:b/>
          <w:bCs/>
          <w:sz w:val="24"/>
          <w:szCs w:val="24"/>
        </w:rPr>
        <w:t>3</w:t>
      </w:r>
      <w:r w:rsidR="002E49AA" w:rsidRPr="002E49AA">
        <w:rPr>
          <w:rFonts w:asciiTheme="majorBidi" w:hAnsiTheme="majorBidi" w:cstheme="majorBidi"/>
          <w:b/>
          <w:bCs/>
          <w:sz w:val="24"/>
          <w:szCs w:val="24"/>
        </w:rPr>
        <w:t>.1. Diagnostic stratégique et cadrage</w:t>
      </w:r>
    </w:p>
    <w:p w14:paraId="7F76F45A" w14:textId="2004A26E" w:rsidR="002E49AA" w:rsidRPr="002E49AA" w:rsidRDefault="00A778DC" w:rsidP="00485291">
      <w:pPr>
        <w:jc w:val="both"/>
        <w:rPr>
          <w:rFonts w:asciiTheme="majorBidi" w:hAnsiTheme="majorBidi" w:cstheme="majorBidi"/>
          <w:sz w:val="24"/>
          <w:szCs w:val="24"/>
        </w:rPr>
      </w:pPr>
      <w:r w:rsidRPr="00A778DC">
        <w:rPr>
          <w:rFonts w:asciiTheme="majorBidi" w:hAnsiTheme="majorBidi" w:cstheme="majorBidi"/>
          <w:sz w:val="24"/>
          <w:szCs w:val="24"/>
        </w:rPr>
        <w:t>-</w:t>
      </w:r>
      <w:r w:rsidR="002E49AA" w:rsidRPr="002E49AA">
        <w:rPr>
          <w:rFonts w:asciiTheme="majorBidi" w:hAnsiTheme="majorBidi" w:cstheme="majorBidi"/>
          <w:sz w:val="24"/>
          <w:szCs w:val="24"/>
        </w:rPr>
        <w:t>Analyse des documents existants (charte de la PMZH, etc.) ;</w:t>
      </w:r>
    </w:p>
    <w:p w14:paraId="1189185C" w14:textId="51D21861" w:rsidR="002E49AA" w:rsidRDefault="00A778DC" w:rsidP="00485291">
      <w:pPr>
        <w:jc w:val="both"/>
        <w:rPr>
          <w:rFonts w:asciiTheme="majorBidi" w:hAnsiTheme="majorBidi" w:cstheme="majorBidi"/>
          <w:sz w:val="24"/>
          <w:szCs w:val="24"/>
        </w:rPr>
      </w:pPr>
      <w:r w:rsidRPr="00A778DC">
        <w:rPr>
          <w:rFonts w:asciiTheme="majorBidi" w:hAnsiTheme="majorBidi" w:cstheme="majorBidi"/>
          <w:sz w:val="24"/>
          <w:szCs w:val="24"/>
        </w:rPr>
        <w:t>-</w:t>
      </w:r>
      <w:r w:rsidR="002E49AA" w:rsidRPr="002E49AA">
        <w:rPr>
          <w:rFonts w:asciiTheme="majorBidi" w:hAnsiTheme="majorBidi" w:cstheme="majorBidi"/>
          <w:sz w:val="24"/>
          <w:szCs w:val="24"/>
        </w:rPr>
        <w:t>Analyse du contexte institutionnel, associatif et politique relatif aux zones humides au Maroc</w:t>
      </w:r>
      <w:r w:rsidR="00485291">
        <w:rPr>
          <w:rFonts w:asciiTheme="majorBidi" w:hAnsiTheme="majorBidi" w:cstheme="majorBidi"/>
          <w:sz w:val="24"/>
          <w:szCs w:val="24"/>
        </w:rPr>
        <w:t> ;</w:t>
      </w:r>
    </w:p>
    <w:p w14:paraId="53018F3D" w14:textId="08148979" w:rsidR="009C3FF5" w:rsidRDefault="00C73255" w:rsidP="00485291">
      <w:pPr>
        <w:jc w:val="both"/>
        <w:rPr>
          <w:rFonts w:asciiTheme="majorBidi" w:hAnsiTheme="majorBidi" w:cstheme="majorBidi"/>
          <w:sz w:val="24"/>
          <w:szCs w:val="24"/>
        </w:rPr>
      </w:pPr>
      <w:r>
        <w:rPr>
          <w:rFonts w:asciiTheme="majorBidi" w:hAnsiTheme="majorBidi" w:cstheme="majorBidi"/>
          <w:sz w:val="24"/>
          <w:szCs w:val="24"/>
        </w:rPr>
        <w:t xml:space="preserve">- </w:t>
      </w:r>
      <w:r w:rsidRPr="00C73255">
        <w:rPr>
          <w:rFonts w:asciiTheme="majorBidi" w:hAnsiTheme="majorBidi" w:cstheme="majorBidi"/>
          <w:sz w:val="24"/>
          <w:szCs w:val="24"/>
        </w:rPr>
        <w:t>Cartographier les parties prenantes et définir leur rôle potentiel</w:t>
      </w:r>
      <w:r w:rsidR="009C3FF5">
        <w:rPr>
          <w:rFonts w:asciiTheme="majorBidi" w:hAnsiTheme="majorBidi" w:cstheme="majorBidi"/>
          <w:sz w:val="24"/>
          <w:szCs w:val="24"/>
        </w:rPr>
        <w:t> ;</w:t>
      </w:r>
    </w:p>
    <w:p w14:paraId="5378380B" w14:textId="76EF3CEF" w:rsidR="002E49AA" w:rsidRPr="002E49AA" w:rsidRDefault="00A778DC" w:rsidP="00485291">
      <w:pPr>
        <w:jc w:val="both"/>
        <w:rPr>
          <w:rFonts w:asciiTheme="majorBidi" w:hAnsiTheme="majorBidi" w:cstheme="majorBidi"/>
          <w:sz w:val="24"/>
          <w:szCs w:val="24"/>
        </w:rPr>
      </w:pPr>
      <w:r w:rsidRPr="00A778DC">
        <w:rPr>
          <w:rFonts w:asciiTheme="majorBidi" w:hAnsiTheme="majorBidi" w:cstheme="majorBidi"/>
          <w:sz w:val="24"/>
          <w:szCs w:val="24"/>
        </w:rPr>
        <w:t>-</w:t>
      </w:r>
      <w:r w:rsidR="002E49AA" w:rsidRPr="002E49AA">
        <w:rPr>
          <w:rFonts w:asciiTheme="majorBidi" w:hAnsiTheme="majorBidi" w:cstheme="majorBidi"/>
          <w:sz w:val="24"/>
          <w:szCs w:val="24"/>
        </w:rPr>
        <w:t>Identification des forces, faiblesses, opportunités et menaces (analyse SWOT) de</w:t>
      </w:r>
      <w:r w:rsidR="00F712D2">
        <w:rPr>
          <w:rFonts w:asciiTheme="majorBidi" w:hAnsiTheme="majorBidi" w:cstheme="majorBidi"/>
          <w:sz w:val="24"/>
          <w:szCs w:val="24"/>
        </w:rPr>
        <w:t>s membres de</w:t>
      </w:r>
      <w:r w:rsidR="002E49AA" w:rsidRPr="002E49AA">
        <w:rPr>
          <w:rFonts w:asciiTheme="majorBidi" w:hAnsiTheme="majorBidi" w:cstheme="majorBidi"/>
          <w:sz w:val="24"/>
          <w:szCs w:val="24"/>
        </w:rPr>
        <w:t xml:space="preserve"> l’Alliance.</w:t>
      </w:r>
    </w:p>
    <w:p w14:paraId="460AE7CB" w14:textId="7F90F40B" w:rsidR="002E49AA" w:rsidRDefault="009C3FF5" w:rsidP="002E49AA">
      <w:pPr>
        <w:rPr>
          <w:rFonts w:asciiTheme="majorBidi" w:hAnsiTheme="majorBidi" w:cstheme="majorBidi"/>
          <w:b/>
          <w:bCs/>
          <w:sz w:val="24"/>
          <w:szCs w:val="24"/>
        </w:rPr>
      </w:pPr>
      <w:r>
        <w:rPr>
          <w:rFonts w:asciiTheme="majorBidi" w:hAnsiTheme="majorBidi" w:cstheme="majorBidi"/>
          <w:b/>
          <w:bCs/>
          <w:sz w:val="24"/>
          <w:szCs w:val="24"/>
        </w:rPr>
        <w:t>3</w:t>
      </w:r>
      <w:r w:rsidR="002E49AA" w:rsidRPr="002E49AA">
        <w:rPr>
          <w:rFonts w:asciiTheme="majorBidi" w:hAnsiTheme="majorBidi" w:cstheme="majorBidi"/>
          <w:b/>
          <w:bCs/>
          <w:sz w:val="24"/>
          <w:szCs w:val="24"/>
        </w:rPr>
        <w:t>.2. Accompagnement à l’élaboration de la stratégie</w:t>
      </w:r>
    </w:p>
    <w:p w14:paraId="36DCD44D" w14:textId="376952D1" w:rsidR="008610E3" w:rsidRDefault="008610E3" w:rsidP="008610E3">
      <w:pPr>
        <w:jc w:val="both"/>
        <w:rPr>
          <w:rFonts w:asciiTheme="majorBidi" w:hAnsiTheme="majorBidi" w:cstheme="majorBidi"/>
          <w:sz w:val="24"/>
          <w:szCs w:val="24"/>
        </w:rPr>
      </w:pPr>
      <w:r w:rsidRPr="008610E3">
        <w:rPr>
          <w:rFonts w:asciiTheme="majorBidi" w:hAnsiTheme="majorBidi" w:cstheme="majorBidi"/>
          <w:sz w:val="24"/>
          <w:szCs w:val="24"/>
        </w:rPr>
        <w:t>L’élaboration de la stratégie de l’Alliance Marocaine de l’UICN s’appuiera sur une démarche participative et inclusive, impliquant activement les associations membres tout au long du processus. À ce titre, le/la consultant(e) assurera l’accompagnement à travers les étapes suivantes :</w:t>
      </w:r>
    </w:p>
    <w:p w14:paraId="3EF37255" w14:textId="5C7DAE4B" w:rsidR="008610E3" w:rsidRPr="008610E3" w:rsidRDefault="008610E3" w:rsidP="008610E3">
      <w:pPr>
        <w:jc w:val="both"/>
        <w:rPr>
          <w:rFonts w:asciiTheme="majorBidi" w:hAnsiTheme="majorBidi" w:cstheme="majorBidi"/>
          <w:sz w:val="24"/>
          <w:szCs w:val="24"/>
        </w:rPr>
      </w:pPr>
      <w:r>
        <w:rPr>
          <w:rFonts w:asciiTheme="majorBidi" w:hAnsiTheme="majorBidi" w:cstheme="majorBidi"/>
          <w:sz w:val="24"/>
          <w:szCs w:val="24"/>
        </w:rPr>
        <w:t>-</w:t>
      </w:r>
      <w:r w:rsidRPr="008610E3">
        <w:rPr>
          <w:rFonts w:asciiTheme="majorBidi" w:hAnsiTheme="majorBidi" w:cstheme="majorBidi"/>
          <w:sz w:val="24"/>
          <w:szCs w:val="24"/>
        </w:rPr>
        <w:t xml:space="preserve">Conception, organisation et animation de rencontres </w:t>
      </w:r>
      <w:r>
        <w:rPr>
          <w:rFonts w:asciiTheme="majorBidi" w:hAnsiTheme="majorBidi" w:cstheme="majorBidi"/>
          <w:sz w:val="24"/>
          <w:szCs w:val="24"/>
        </w:rPr>
        <w:t xml:space="preserve">ou </w:t>
      </w:r>
      <w:r w:rsidRPr="008610E3">
        <w:rPr>
          <w:rFonts w:asciiTheme="majorBidi" w:hAnsiTheme="majorBidi" w:cstheme="majorBidi"/>
          <w:sz w:val="24"/>
          <w:szCs w:val="24"/>
        </w:rPr>
        <w:t xml:space="preserve">des workshops de concertation </w:t>
      </w:r>
      <w:r>
        <w:rPr>
          <w:rFonts w:asciiTheme="majorBidi" w:hAnsiTheme="majorBidi" w:cstheme="majorBidi"/>
          <w:sz w:val="24"/>
          <w:szCs w:val="24"/>
        </w:rPr>
        <w:t xml:space="preserve">(à distance ou en présentiel) </w:t>
      </w:r>
      <w:r w:rsidRPr="008610E3">
        <w:rPr>
          <w:rFonts w:asciiTheme="majorBidi" w:hAnsiTheme="majorBidi" w:cstheme="majorBidi"/>
          <w:sz w:val="24"/>
          <w:szCs w:val="24"/>
        </w:rPr>
        <w:t>avec les associations membres de l’Alliance ;</w:t>
      </w:r>
    </w:p>
    <w:p w14:paraId="2B6B42DF" w14:textId="07473A9C" w:rsidR="002E49AA" w:rsidRDefault="009F45C2" w:rsidP="009F45C2">
      <w:pPr>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Conception et animation d’un atelier participatif de planification stratégique (présentiel) avec les membres de l’Alliance ;</w:t>
      </w:r>
    </w:p>
    <w:p w14:paraId="64B1DD0B" w14:textId="65ECC594" w:rsidR="002E49AA" w:rsidRPr="002E49AA" w:rsidRDefault="009F45C2" w:rsidP="009F45C2">
      <w:pPr>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Élaboration d’un plan stratégique quinquennal, incluant :</w:t>
      </w:r>
    </w:p>
    <w:p w14:paraId="1679CCBC" w14:textId="0626C63B" w:rsidR="002E49AA" w:rsidRPr="002E49AA" w:rsidRDefault="00FA4771" w:rsidP="003010C6">
      <w:pPr>
        <w:spacing w:after="0" w:line="360" w:lineRule="auto"/>
        <w:rPr>
          <w:rFonts w:asciiTheme="majorBidi" w:hAnsiTheme="majorBidi" w:cstheme="majorBidi"/>
          <w:sz w:val="24"/>
          <w:szCs w:val="24"/>
        </w:rPr>
      </w:pPr>
      <w:r>
        <w:rPr>
          <w:rFonts w:asciiTheme="majorBidi" w:hAnsiTheme="majorBidi" w:cstheme="majorBidi"/>
          <w:sz w:val="24"/>
          <w:szCs w:val="24"/>
        </w:rPr>
        <w:t>1-U</w:t>
      </w:r>
      <w:r w:rsidR="002E49AA" w:rsidRPr="002E49AA">
        <w:rPr>
          <w:rFonts w:asciiTheme="majorBidi" w:hAnsiTheme="majorBidi" w:cstheme="majorBidi"/>
          <w:sz w:val="24"/>
          <w:szCs w:val="24"/>
        </w:rPr>
        <w:t>n plan d’action opérationnel sur trois ans ;</w:t>
      </w:r>
    </w:p>
    <w:p w14:paraId="59B004B0" w14:textId="1F1E2339" w:rsidR="002E49AA" w:rsidRPr="002E49AA" w:rsidRDefault="00FA4771" w:rsidP="003010C6">
      <w:pPr>
        <w:spacing w:after="0" w:line="360" w:lineRule="auto"/>
        <w:rPr>
          <w:rFonts w:asciiTheme="majorBidi" w:hAnsiTheme="majorBidi" w:cstheme="majorBidi"/>
          <w:sz w:val="24"/>
          <w:szCs w:val="24"/>
        </w:rPr>
      </w:pPr>
      <w:r>
        <w:rPr>
          <w:rFonts w:asciiTheme="majorBidi" w:hAnsiTheme="majorBidi" w:cstheme="majorBidi"/>
          <w:sz w:val="24"/>
          <w:szCs w:val="24"/>
        </w:rPr>
        <w:t>2-D</w:t>
      </w:r>
      <w:r w:rsidR="002E49AA" w:rsidRPr="002E49AA">
        <w:rPr>
          <w:rFonts w:asciiTheme="majorBidi" w:hAnsiTheme="majorBidi" w:cstheme="majorBidi"/>
          <w:sz w:val="24"/>
          <w:szCs w:val="24"/>
        </w:rPr>
        <w:t>es indicateurs de suivi et d’évaluation ;</w:t>
      </w:r>
    </w:p>
    <w:p w14:paraId="50B0BD36" w14:textId="213D677D" w:rsidR="002E49AA" w:rsidRPr="002E49AA" w:rsidRDefault="00FA4771" w:rsidP="00FA4771">
      <w:pPr>
        <w:rPr>
          <w:rFonts w:asciiTheme="majorBidi" w:hAnsiTheme="majorBidi" w:cstheme="majorBidi"/>
          <w:sz w:val="24"/>
          <w:szCs w:val="24"/>
        </w:rPr>
      </w:pPr>
      <w:r>
        <w:rPr>
          <w:rFonts w:asciiTheme="majorBidi" w:hAnsiTheme="majorBidi" w:cstheme="majorBidi"/>
          <w:sz w:val="24"/>
          <w:szCs w:val="24"/>
        </w:rPr>
        <w:t>3-D</w:t>
      </w:r>
      <w:r w:rsidR="002E49AA" w:rsidRPr="002E49AA">
        <w:rPr>
          <w:rFonts w:asciiTheme="majorBidi" w:hAnsiTheme="majorBidi" w:cstheme="majorBidi"/>
          <w:sz w:val="24"/>
          <w:szCs w:val="24"/>
        </w:rPr>
        <w:t>es mécanismes de gouvernance stratégique.</w:t>
      </w:r>
    </w:p>
    <w:p w14:paraId="137FE556" w14:textId="60195D05" w:rsidR="006A0A40" w:rsidRDefault="009C3FF5" w:rsidP="006A0A40">
      <w:pPr>
        <w:jc w:val="both"/>
        <w:rPr>
          <w:rFonts w:asciiTheme="majorBidi" w:hAnsiTheme="majorBidi" w:cstheme="majorBidi"/>
          <w:b/>
          <w:bCs/>
          <w:sz w:val="24"/>
          <w:szCs w:val="24"/>
        </w:rPr>
      </w:pPr>
      <w:r>
        <w:rPr>
          <w:rFonts w:asciiTheme="majorBidi" w:hAnsiTheme="majorBidi" w:cstheme="majorBidi"/>
          <w:b/>
          <w:bCs/>
          <w:sz w:val="24"/>
          <w:szCs w:val="24"/>
        </w:rPr>
        <w:t>3</w:t>
      </w:r>
      <w:r w:rsidR="002E49AA" w:rsidRPr="002E49AA">
        <w:rPr>
          <w:rFonts w:asciiTheme="majorBidi" w:hAnsiTheme="majorBidi" w:cstheme="majorBidi"/>
          <w:b/>
          <w:bCs/>
          <w:sz w:val="24"/>
          <w:szCs w:val="24"/>
        </w:rPr>
        <w:t>.3. Formation en planification stratégique</w:t>
      </w:r>
      <w:r w:rsidR="0039158E">
        <w:rPr>
          <w:rFonts w:asciiTheme="majorBidi" w:hAnsiTheme="majorBidi" w:cstheme="majorBidi"/>
          <w:b/>
          <w:bCs/>
          <w:sz w:val="24"/>
          <w:szCs w:val="24"/>
        </w:rPr>
        <w:t> </w:t>
      </w:r>
    </w:p>
    <w:p w14:paraId="2757A253" w14:textId="481275C3" w:rsidR="002E49AA" w:rsidRPr="009C3FF5" w:rsidRDefault="00DC05D9" w:rsidP="009C3FF5">
      <w:pPr>
        <w:jc w:val="both"/>
        <w:rPr>
          <w:rFonts w:asciiTheme="majorBidi" w:hAnsiTheme="majorBidi" w:cstheme="majorBidi"/>
          <w:sz w:val="24"/>
          <w:szCs w:val="24"/>
        </w:rPr>
      </w:pPr>
      <w:r>
        <w:rPr>
          <w:rFonts w:asciiTheme="majorBidi" w:hAnsiTheme="majorBidi" w:cstheme="majorBidi"/>
          <w:sz w:val="24"/>
          <w:szCs w:val="24"/>
        </w:rPr>
        <w:t>-</w:t>
      </w:r>
      <w:r w:rsidR="0039158E" w:rsidRPr="002E49AA">
        <w:rPr>
          <w:rFonts w:asciiTheme="majorBidi" w:hAnsiTheme="majorBidi" w:cstheme="majorBidi"/>
          <w:sz w:val="24"/>
          <w:szCs w:val="24"/>
        </w:rPr>
        <w:t xml:space="preserve">Conception et animation d’un atelier de formation de deux jours sur la planification stratégique au profit d’au moins 20 </w:t>
      </w:r>
      <w:r w:rsidR="0039158E">
        <w:rPr>
          <w:rFonts w:asciiTheme="majorBidi" w:hAnsiTheme="majorBidi" w:cstheme="majorBidi"/>
          <w:sz w:val="24"/>
          <w:szCs w:val="24"/>
        </w:rPr>
        <w:t xml:space="preserve">personnes </w:t>
      </w:r>
      <w:r w:rsidR="0039158E" w:rsidRPr="00F11BAA">
        <w:rPr>
          <w:rFonts w:asciiTheme="majorBidi" w:hAnsiTheme="majorBidi" w:cstheme="majorBidi"/>
          <w:sz w:val="24"/>
          <w:szCs w:val="24"/>
        </w:rPr>
        <w:t>représentant les associations membres</w:t>
      </w:r>
      <w:r w:rsidR="0039158E" w:rsidRPr="002E49AA" w:rsidDel="00F11BAA">
        <w:rPr>
          <w:rFonts w:asciiTheme="majorBidi" w:hAnsiTheme="majorBidi" w:cstheme="majorBidi"/>
          <w:sz w:val="24"/>
          <w:szCs w:val="24"/>
        </w:rPr>
        <w:t xml:space="preserve"> </w:t>
      </w:r>
      <w:r w:rsidR="0039158E" w:rsidRPr="002E49AA">
        <w:rPr>
          <w:rFonts w:asciiTheme="majorBidi" w:hAnsiTheme="majorBidi" w:cstheme="majorBidi"/>
          <w:sz w:val="24"/>
          <w:szCs w:val="24"/>
        </w:rPr>
        <w:t>de l’Alliance ;</w:t>
      </w:r>
    </w:p>
    <w:p w14:paraId="0F7E1C7A" w14:textId="464456A3" w:rsidR="003D3BF1" w:rsidRPr="00DC05D9" w:rsidRDefault="00DC05D9" w:rsidP="00DC05D9">
      <w:pPr>
        <w:jc w:val="both"/>
        <w:rPr>
          <w:rFonts w:asciiTheme="majorBidi" w:hAnsiTheme="majorBidi" w:cstheme="majorBidi"/>
          <w:sz w:val="24"/>
          <w:szCs w:val="24"/>
        </w:rPr>
      </w:pPr>
      <w:r>
        <w:rPr>
          <w:rFonts w:asciiTheme="majorBidi" w:hAnsiTheme="majorBidi" w:cstheme="majorBidi"/>
          <w:sz w:val="24"/>
          <w:szCs w:val="24"/>
        </w:rPr>
        <w:t>-</w:t>
      </w:r>
      <w:r w:rsidR="003D3BF1" w:rsidRPr="00DC05D9">
        <w:rPr>
          <w:rFonts w:asciiTheme="majorBidi" w:hAnsiTheme="majorBidi" w:cstheme="majorBidi"/>
          <w:sz w:val="24"/>
          <w:szCs w:val="24"/>
        </w:rPr>
        <w:t>Élabor</w:t>
      </w:r>
      <w:r w:rsidR="002123FC">
        <w:rPr>
          <w:rFonts w:asciiTheme="majorBidi" w:hAnsiTheme="majorBidi" w:cstheme="majorBidi"/>
          <w:sz w:val="24"/>
          <w:szCs w:val="24"/>
        </w:rPr>
        <w:t>ation</w:t>
      </w:r>
      <w:r w:rsidR="003D3BF1" w:rsidRPr="00DC05D9">
        <w:rPr>
          <w:rFonts w:asciiTheme="majorBidi" w:hAnsiTheme="majorBidi" w:cstheme="majorBidi"/>
          <w:sz w:val="24"/>
          <w:szCs w:val="24"/>
        </w:rPr>
        <w:t xml:space="preserve"> </w:t>
      </w:r>
      <w:r w:rsidR="002123FC">
        <w:rPr>
          <w:rFonts w:asciiTheme="majorBidi" w:hAnsiTheme="majorBidi" w:cstheme="majorBidi"/>
          <w:sz w:val="24"/>
          <w:szCs w:val="24"/>
        </w:rPr>
        <w:t>d</w:t>
      </w:r>
      <w:r w:rsidR="003D3BF1" w:rsidRPr="00DC05D9">
        <w:rPr>
          <w:rFonts w:asciiTheme="majorBidi" w:hAnsiTheme="majorBidi" w:cstheme="majorBidi"/>
          <w:sz w:val="24"/>
          <w:szCs w:val="24"/>
        </w:rPr>
        <w:t>e programme détaillé de la formation (contenu, durée des modules, méthodologie participative).</w:t>
      </w:r>
    </w:p>
    <w:p w14:paraId="27D1A242" w14:textId="073C97BB" w:rsidR="002E49AA" w:rsidRDefault="00DC05D9" w:rsidP="009C3FF5">
      <w:pPr>
        <w:jc w:val="both"/>
        <w:rPr>
          <w:rFonts w:asciiTheme="majorBidi" w:hAnsiTheme="majorBidi" w:cstheme="majorBidi"/>
          <w:sz w:val="24"/>
          <w:szCs w:val="24"/>
        </w:rPr>
      </w:pPr>
      <w:r>
        <w:rPr>
          <w:rFonts w:asciiTheme="majorBidi" w:hAnsiTheme="majorBidi" w:cstheme="majorBidi"/>
          <w:sz w:val="24"/>
          <w:szCs w:val="24"/>
        </w:rPr>
        <w:t>-</w:t>
      </w:r>
      <w:r w:rsidR="0039158E" w:rsidRPr="00DC05D9">
        <w:rPr>
          <w:rFonts w:asciiTheme="majorBidi" w:hAnsiTheme="majorBidi" w:cstheme="majorBidi"/>
          <w:sz w:val="24"/>
          <w:szCs w:val="24"/>
        </w:rPr>
        <w:t>Développement de supports pédagogiques adaptés (présentations, outils méthodologiques, canevas) ;</w:t>
      </w:r>
    </w:p>
    <w:p w14:paraId="3716D0F6" w14:textId="15184C97" w:rsidR="002E49AA" w:rsidRPr="002E49AA" w:rsidRDefault="009C3FF5" w:rsidP="002E49AA">
      <w:pPr>
        <w:rPr>
          <w:rFonts w:asciiTheme="majorBidi" w:hAnsiTheme="majorBidi" w:cstheme="majorBidi"/>
          <w:b/>
          <w:bCs/>
          <w:sz w:val="24"/>
          <w:szCs w:val="24"/>
        </w:rPr>
      </w:pPr>
      <w:r>
        <w:rPr>
          <w:rFonts w:asciiTheme="majorBidi" w:hAnsiTheme="majorBidi" w:cstheme="majorBidi"/>
          <w:b/>
          <w:bCs/>
          <w:sz w:val="24"/>
          <w:szCs w:val="24"/>
        </w:rPr>
        <w:t>3</w:t>
      </w:r>
      <w:r w:rsidR="002E49AA" w:rsidRPr="002E49AA">
        <w:rPr>
          <w:rFonts w:asciiTheme="majorBidi" w:hAnsiTheme="majorBidi" w:cstheme="majorBidi"/>
          <w:b/>
          <w:bCs/>
          <w:sz w:val="24"/>
          <w:szCs w:val="24"/>
        </w:rPr>
        <w:t>.4. Validation et finalisation</w:t>
      </w:r>
    </w:p>
    <w:p w14:paraId="015B5080" w14:textId="140655B7" w:rsidR="002E49AA" w:rsidRPr="002E49AA" w:rsidRDefault="00A77140" w:rsidP="00485291">
      <w:pPr>
        <w:spacing w:after="0" w:line="360" w:lineRule="auto"/>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Intégration des commentaires et recommandations des membres ;</w:t>
      </w:r>
    </w:p>
    <w:p w14:paraId="272BFDE4" w14:textId="5213024E" w:rsidR="002E49AA" w:rsidRPr="002E49AA" w:rsidRDefault="00A77140" w:rsidP="00485291">
      <w:pPr>
        <w:spacing w:after="0" w:line="360" w:lineRule="auto"/>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Appui à l’organisation d’un atelier (ou réunion) de validation finale de la stratégie ;</w:t>
      </w:r>
    </w:p>
    <w:p w14:paraId="723CEC47" w14:textId="3E4C4659" w:rsidR="002E49AA" w:rsidRDefault="00A77140" w:rsidP="00485291">
      <w:pPr>
        <w:spacing w:after="0" w:line="360" w:lineRule="auto"/>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Finalisation des livrables.</w:t>
      </w:r>
    </w:p>
    <w:p w14:paraId="3FCB27CF" w14:textId="77777777" w:rsidR="00A26760" w:rsidRPr="002E49AA" w:rsidRDefault="00A26760" w:rsidP="00485291">
      <w:pPr>
        <w:spacing w:after="0" w:line="360" w:lineRule="auto"/>
        <w:rPr>
          <w:rFonts w:asciiTheme="majorBidi" w:hAnsiTheme="majorBidi" w:cstheme="majorBidi"/>
          <w:sz w:val="24"/>
          <w:szCs w:val="24"/>
        </w:rPr>
      </w:pPr>
    </w:p>
    <w:p w14:paraId="264151D6" w14:textId="6AE14FAD" w:rsidR="002E49AA" w:rsidRPr="002E49AA" w:rsidRDefault="009C3FF5" w:rsidP="002E49AA">
      <w:pPr>
        <w:rPr>
          <w:rFonts w:asciiTheme="majorBidi" w:hAnsiTheme="majorBidi" w:cstheme="majorBidi"/>
          <w:b/>
          <w:bCs/>
          <w:sz w:val="26"/>
          <w:szCs w:val="26"/>
        </w:rPr>
      </w:pPr>
      <w:r>
        <w:rPr>
          <w:rFonts w:asciiTheme="majorBidi" w:hAnsiTheme="majorBidi" w:cstheme="majorBidi"/>
          <w:b/>
          <w:bCs/>
          <w:sz w:val="26"/>
          <w:szCs w:val="26"/>
        </w:rPr>
        <w:lastRenderedPageBreak/>
        <w:t>4</w:t>
      </w:r>
      <w:r w:rsidR="002E49AA" w:rsidRPr="002E49AA">
        <w:rPr>
          <w:rFonts w:asciiTheme="majorBidi" w:hAnsiTheme="majorBidi" w:cstheme="majorBidi"/>
          <w:b/>
          <w:bCs/>
          <w:sz w:val="26"/>
          <w:szCs w:val="26"/>
        </w:rPr>
        <w:t>. Livrables attendus</w:t>
      </w:r>
    </w:p>
    <w:p w14:paraId="32ED43E7" w14:textId="77777777" w:rsidR="002E49AA" w:rsidRPr="002E49AA" w:rsidRDefault="002E49AA" w:rsidP="002E49AA">
      <w:pPr>
        <w:rPr>
          <w:rFonts w:asciiTheme="majorBidi" w:hAnsiTheme="majorBidi" w:cstheme="majorBidi"/>
          <w:sz w:val="24"/>
          <w:szCs w:val="24"/>
        </w:rPr>
      </w:pPr>
      <w:r w:rsidRPr="002E49AA">
        <w:rPr>
          <w:rFonts w:asciiTheme="majorBidi" w:hAnsiTheme="majorBidi" w:cstheme="majorBidi"/>
          <w:sz w:val="24"/>
          <w:szCs w:val="24"/>
        </w:rPr>
        <w:t>Le/la consultant(e) devra fournir les livrables suivants :</w:t>
      </w:r>
    </w:p>
    <w:p w14:paraId="5352C17E"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Note méthodologique détaillant l’approche et le calendrier de la mission ;</w:t>
      </w:r>
    </w:p>
    <w:p w14:paraId="28D5F10A"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Rapport de diagnostic stratégique (incluant l’analyse SWOT) ;</w:t>
      </w:r>
    </w:p>
    <w:p w14:paraId="328CE68C"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Stratégie quinquennale de l’Alliance Marocaine des Zones Humides ;</w:t>
      </w:r>
    </w:p>
    <w:p w14:paraId="6275617F"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Plan d’action opérationnel triennal avec indicateurs de suivi ;</w:t>
      </w:r>
    </w:p>
    <w:p w14:paraId="4C2A40C5"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Supports de formation en planification stratégique ;</w:t>
      </w:r>
    </w:p>
    <w:p w14:paraId="0C03942B" w14:textId="77777777" w:rsidR="002E49AA" w:rsidRPr="002E49AA" w:rsidRDefault="002E49AA" w:rsidP="002E49AA">
      <w:pPr>
        <w:numPr>
          <w:ilvl w:val="0"/>
          <w:numId w:val="6"/>
        </w:numPr>
        <w:rPr>
          <w:rFonts w:asciiTheme="majorBidi" w:hAnsiTheme="majorBidi" w:cstheme="majorBidi"/>
          <w:sz w:val="24"/>
          <w:szCs w:val="24"/>
        </w:rPr>
      </w:pPr>
      <w:r w:rsidRPr="002E49AA">
        <w:rPr>
          <w:rFonts w:asciiTheme="majorBidi" w:hAnsiTheme="majorBidi" w:cstheme="majorBidi"/>
          <w:sz w:val="24"/>
          <w:szCs w:val="24"/>
        </w:rPr>
        <w:t>Rapport de formation (participants, contenus, résultats, recommandations).</w:t>
      </w:r>
    </w:p>
    <w:p w14:paraId="4AB271EE" w14:textId="56EC6F15" w:rsidR="002E49AA" w:rsidRPr="002E49AA" w:rsidRDefault="00517108" w:rsidP="002E49AA">
      <w:pPr>
        <w:rPr>
          <w:rFonts w:asciiTheme="majorBidi" w:hAnsiTheme="majorBidi" w:cstheme="majorBidi"/>
          <w:b/>
          <w:bCs/>
          <w:sz w:val="26"/>
          <w:szCs w:val="26"/>
        </w:rPr>
      </w:pPr>
      <w:bookmarkStart w:id="0" w:name="_Hlk218634509"/>
      <w:r>
        <w:rPr>
          <w:rFonts w:asciiTheme="majorBidi" w:hAnsiTheme="majorBidi" w:cstheme="majorBidi"/>
          <w:b/>
          <w:bCs/>
          <w:sz w:val="26"/>
          <w:szCs w:val="26"/>
        </w:rPr>
        <w:t>5</w:t>
      </w:r>
      <w:r w:rsidR="002E49AA" w:rsidRPr="002E49AA">
        <w:rPr>
          <w:rFonts w:asciiTheme="majorBidi" w:hAnsiTheme="majorBidi" w:cstheme="majorBidi"/>
          <w:b/>
          <w:bCs/>
          <w:sz w:val="26"/>
          <w:szCs w:val="26"/>
        </w:rPr>
        <w:t>. Durée et période de la mission</w:t>
      </w:r>
    </w:p>
    <w:p w14:paraId="632E27A4" w14:textId="61D74262" w:rsidR="002E49AA" w:rsidRDefault="00485291" w:rsidP="0039158E">
      <w:pPr>
        <w:spacing w:line="276" w:lineRule="auto"/>
        <w:jc w:val="both"/>
        <w:rPr>
          <w:rFonts w:asciiTheme="majorBidi" w:hAnsiTheme="majorBidi" w:cstheme="majorBidi"/>
          <w:sz w:val="24"/>
          <w:szCs w:val="24"/>
        </w:rPr>
      </w:pPr>
      <w:r w:rsidRPr="00485291">
        <w:rPr>
          <w:rFonts w:asciiTheme="majorBidi" w:hAnsiTheme="majorBidi" w:cstheme="majorBidi"/>
          <w:sz w:val="24"/>
          <w:szCs w:val="24"/>
        </w:rPr>
        <w:t xml:space="preserve">La mission s’étendra sur une durée estimée de six (6) mois, allant du début janvier à la fin juin. </w:t>
      </w:r>
    </w:p>
    <w:bookmarkEnd w:id="0"/>
    <w:p w14:paraId="7CB39B7C" w14:textId="71AE911D" w:rsidR="002E49AA" w:rsidRPr="002E49AA" w:rsidRDefault="00517108" w:rsidP="002E49AA">
      <w:pPr>
        <w:rPr>
          <w:rFonts w:asciiTheme="majorBidi" w:hAnsiTheme="majorBidi" w:cstheme="majorBidi"/>
          <w:b/>
          <w:bCs/>
          <w:sz w:val="26"/>
          <w:szCs w:val="26"/>
        </w:rPr>
      </w:pPr>
      <w:r>
        <w:rPr>
          <w:rFonts w:asciiTheme="majorBidi" w:hAnsiTheme="majorBidi" w:cstheme="majorBidi"/>
          <w:b/>
          <w:bCs/>
          <w:sz w:val="26"/>
          <w:szCs w:val="26"/>
        </w:rPr>
        <w:t>6</w:t>
      </w:r>
      <w:r w:rsidR="002E49AA" w:rsidRPr="002E49AA">
        <w:rPr>
          <w:rFonts w:asciiTheme="majorBidi" w:hAnsiTheme="majorBidi" w:cstheme="majorBidi"/>
          <w:b/>
          <w:bCs/>
          <w:sz w:val="26"/>
          <w:szCs w:val="26"/>
        </w:rPr>
        <w:t>. Profil du/de la consultant(e)</w:t>
      </w:r>
    </w:p>
    <w:p w14:paraId="1160ED3E" w14:textId="77777777" w:rsidR="002E49AA" w:rsidRPr="002E49AA" w:rsidRDefault="002E49AA" w:rsidP="009F45C2">
      <w:pPr>
        <w:spacing w:line="276" w:lineRule="auto"/>
        <w:rPr>
          <w:rFonts w:asciiTheme="majorBidi" w:hAnsiTheme="majorBidi" w:cstheme="majorBidi"/>
          <w:sz w:val="24"/>
          <w:szCs w:val="24"/>
        </w:rPr>
      </w:pPr>
      <w:r w:rsidRPr="002E49AA">
        <w:rPr>
          <w:rFonts w:asciiTheme="majorBidi" w:hAnsiTheme="majorBidi" w:cstheme="majorBidi"/>
          <w:sz w:val="24"/>
          <w:szCs w:val="24"/>
        </w:rPr>
        <w:t>Le/la consultant(e) devra justifier des qualifications suivantes :</w:t>
      </w:r>
    </w:p>
    <w:p w14:paraId="00DE7B79" w14:textId="3C0FF5FD" w:rsidR="009C40B1" w:rsidRPr="00BA49A3" w:rsidRDefault="009C40B1" w:rsidP="00BA49A3">
      <w:pPr>
        <w:spacing w:line="276" w:lineRule="auto"/>
        <w:jc w:val="both"/>
        <w:rPr>
          <w:rFonts w:ascii="TimesNewRomanPSMT" w:eastAsia="Times New Roman" w:hAnsi="TimesNewRomanPSMT" w:cs="Times New Roman"/>
          <w:color w:val="000000"/>
          <w:kern w:val="0"/>
          <w:sz w:val="24"/>
          <w:szCs w:val="24"/>
          <w:lang w:eastAsia="fr-FR"/>
          <w14:ligatures w14:val="none"/>
        </w:rPr>
      </w:pPr>
      <w:r>
        <w:rPr>
          <w:rFonts w:asciiTheme="majorBidi" w:hAnsiTheme="majorBidi" w:cstheme="majorBidi"/>
          <w:sz w:val="24"/>
          <w:szCs w:val="24"/>
        </w:rPr>
        <w:t>-</w:t>
      </w:r>
      <w:r w:rsidR="002E49AA" w:rsidRPr="009C40B1">
        <w:rPr>
          <w:rFonts w:asciiTheme="majorBidi" w:hAnsiTheme="majorBidi" w:cstheme="majorBidi"/>
          <w:sz w:val="24"/>
          <w:szCs w:val="24"/>
        </w:rPr>
        <w:t>Expérience avérée en planification stratégique, accompagnement organisationnel</w:t>
      </w:r>
      <w:r w:rsidRPr="009C40B1">
        <w:rPr>
          <w:rFonts w:asciiTheme="majorBidi" w:hAnsiTheme="majorBidi" w:cstheme="majorBidi"/>
          <w:sz w:val="24"/>
          <w:szCs w:val="24"/>
        </w:rPr>
        <w:t xml:space="preserve">, </w:t>
      </w:r>
      <w:r w:rsidRPr="009C40B1">
        <w:rPr>
          <w:rFonts w:ascii="TimesNewRomanPSMT" w:eastAsia="Times New Roman" w:hAnsi="TimesNewRomanPSMT" w:cs="Times New Roman"/>
          <w:color w:val="000000"/>
          <w:kern w:val="0"/>
          <w:sz w:val="24"/>
          <w:szCs w:val="24"/>
          <w:lang w:eastAsia="fr-FR"/>
          <w14:ligatures w14:val="none"/>
        </w:rPr>
        <w:t>gestion de projets environnementaux</w:t>
      </w:r>
      <w:r w:rsidR="002E49AA" w:rsidRPr="009C40B1">
        <w:rPr>
          <w:rFonts w:asciiTheme="majorBidi" w:hAnsiTheme="majorBidi" w:cstheme="majorBidi"/>
          <w:sz w:val="24"/>
          <w:szCs w:val="24"/>
        </w:rPr>
        <w:t xml:space="preserve"> et renforcement des capacités des OSC ;</w:t>
      </w:r>
    </w:p>
    <w:p w14:paraId="7A2FB312" w14:textId="2541829C" w:rsidR="002E49AA" w:rsidRPr="002E49AA" w:rsidRDefault="009C40B1" w:rsidP="009F45C2">
      <w:pPr>
        <w:spacing w:line="276" w:lineRule="auto"/>
        <w:jc w:val="both"/>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Expérience confirmée dans l’animation de processus participatifs et de formations ;</w:t>
      </w:r>
    </w:p>
    <w:p w14:paraId="196086A7" w14:textId="77777777" w:rsidR="009F45C2" w:rsidRDefault="009C40B1" w:rsidP="009F45C2">
      <w:pPr>
        <w:spacing w:line="276" w:lineRule="auto"/>
        <w:jc w:val="both"/>
        <w:rPr>
          <w:rFonts w:ascii="TimesNewRomanPSMT" w:eastAsia="Times New Roman" w:hAnsi="TimesNewRomanPSMT" w:cs="Times New Roman"/>
          <w:color w:val="000000"/>
          <w:kern w:val="0"/>
          <w:sz w:val="24"/>
          <w:szCs w:val="24"/>
          <w:lang w:eastAsia="fr-FR"/>
          <w14:ligatures w14:val="none"/>
        </w:rPr>
      </w:pPr>
      <w:r>
        <w:rPr>
          <w:rFonts w:ascii="TimesNewRomanPSMT" w:eastAsia="Times New Roman" w:hAnsi="TimesNewRomanPSMT" w:cs="Times New Roman"/>
          <w:color w:val="000000"/>
          <w:kern w:val="0"/>
          <w:sz w:val="24"/>
          <w:szCs w:val="24"/>
          <w:lang w:eastAsia="fr-FR"/>
          <w14:ligatures w14:val="none"/>
        </w:rPr>
        <w:t>-</w:t>
      </w:r>
      <w:r w:rsidRPr="009C40B1">
        <w:rPr>
          <w:rFonts w:ascii="TimesNewRomanPSMT" w:eastAsia="Times New Roman" w:hAnsi="TimesNewRomanPSMT" w:cs="Times New Roman"/>
          <w:color w:val="000000"/>
          <w:kern w:val="0"/>
          <w:sz w:val="24"/>
          <w:szCs w:val="24"/>
          <w:lang w:eastAsia="fr-FR"/>
          <w14:ligatures w14:val="none"/>
        </w:rPr>
        <w:t>Une connaissance approfondie des enjeux liés à la biodiversité et au développement</w:t>
      </w:r>
      <w:r w:rsidR="009F45C2">
        <w:rPr>
          <w:rFonts w:ascii="TimesNewRomanPSMT" w:eastAsia="Times New Roman" w:hAnsi="TimesNewRomanPSMT" w:cs="Times New Roman"/>
          <w:color w:val="000000"/>
          <w:kern w:val="0"/>
          <w:sz w:val="24"/>
          <w:szCs w:val="24"/>
          <w:lang w:eastAsia="fr-FR"/>
          <w14:ligatures w14:val="none"/>
        </w:rPr>
        <w:t xml:space="preserve"> d</w:t>
      </w:r>
      <w:r w:rsidRPr="00FD431E">
        <w:rPr>
          <w:rFonts w:ascii="TimesNewRomanPSMT" w:eastAsia="Times New Roman" w:hAnsi="TimesNewRomanPSMT" w:cs="Times New Roman"/>
          <w:color w:val="000000"/>
          <w:kern w:val="0"/>
          <w:sz w:val="24"/>
          <w:szCs w:val="24"/>
          <w:lang w:eastAsia="fr-FR"/>
          <w14:ligatures w14:val="none"/>
        </w:rPr>
        <w:t>urable</w:t>
      </w:r>
      <w:r w:rsidR="009F45C2">
        <w:rPr>
          <w:rFonts w:ascii="TimesNewRomanPSMT" w:eastAsia="Times New Roman" w:hAnsi="TimesNewRomanPSMT" w:cs="Times New Roman"/>
          <w:color w:val="000000"/>
          <w:kern w:val="0"/>
          <w:sz w:val="24"/>
          <w:szCs w:val="24"/>
          <w:lang w:eastAsia="fr-FR"/>
          <w14:ligatures w14:val="none"/>
        </w:rPr>
        <w:t> ;</w:t>
      </w:r>
    </w:p>
    <w:p w14:paraId="12F5AB6F" w14:textId="6E3AAA42" w:rsidR="002E49AA" w:rsidRPr="009F45C2" w:rsidRDefault="009F45C2" w:rsidP="009F45C2">
      <w:pPr>
        <w:spacing w:line="276" w:lineRule="auto"/>
        <w:jc w:val="both"/>
        <w:rPr>
          <w:rFonts w:ascii="TimesNewRomanPSMT" w:eastAsia="Times New Roman" w:hAnsi="TimesNewRomanPSMT" w:cs="Times New Roman"/>
          <w:color w:val="000000"/>
          <w:kern w:val="0"/>
          <w:sz w:val="24"/>
          <w:szCs w:val="24"/>
          <w:lang w:eastAsia="fr-FR"/>
          <w14:ligatures w14:val="none"/>
        </w:rPr>
      </w:pPr>
      <w:r>
        <w:rPr>
          <w:rFonts w:ascii="TimesNewRomanPSMT" w:eastAsia="Times New Roman" w:hAnsi="TimesNewRomanPSMT" w:cs="Times New Roman"/>
          <w:color w:val="000000"/>
          <w:kern w:val="0"/>
          <w:sz w:val="24"/>
          <w:szCs w:val="24"/>
          <w:lang w:eastAsia="fr-FR"/>
          <w14:ligatures w14:val="none"/>
        </w:rPr>
        <w:t>-</w:t>
      </w:r>
      <w:r w:rsidRPr="009C40B1">
        <w:rPr>
          <w:rFonts w:ascii="TimesNewRomanPSMT" w:eastAsia="Times New Roman" w:hAnsi="TimesNewRomanPSMT" w:cs="Times New Roman"/>
          <w:color w:val="000000"/>
          <w:kern w:val="0"/>
          <w:sz w:val="24"/>
          <w:szCs w:val="24"/>
          <w:lang w:eastAsia="fr-FR"/>
          <w14:ligatures w14:val="none"/>
        </w:rPr>
        <w:t xml:space="preserve">Une </w:t>
      </w:r>
      <w:r>
        <w:rPr>
          <w:rFonts w:ascii="TimesNewRomanPSMT" w:eastAsia="Times New Roman" w:hAnsi="TimesNewRomanPSMT" w:cs="Times New Roman"/>
          <w:color w:val="000000"/>
          <w:kern w:val="0"/>
          <w:sz w:val="24"/>
          <w:szCs w:val="24"/>
          <w:lang w:eastAsia="fr-FR"/>
          <w14:ligatures w14:val="none"/>
        </w:rPr>
        <w:t xml:space="preserve">bonne </w:t>
      </w:r>
      <w:r w:rsidRPr="009C40B1">
        <w:rPr>
          <w:rFonts w:ascii="TimesNewRomanPSMT" w:eastAsia="Times New Roman" w:hAnsi="TimesNewRomanPSMT" w:cs="Times New Roman"/>
          <w:color w:val="000000"/>
          <w:kern w:val="0"/>
          <w:sz w:val="24"/>
          <w:szCs w:val="24"/>
          <w:lang w:eastAsia="fr-FR"/>
          <w14:ligatures w14:val="none"/>
        </w:rPr>
        <w:t xml:space="preserve">connaissance </w:t>
      </w:r>
      <w:r w:rsidR="002E49AA" w:rsidRPr="002E49AA">
        <w:rPr>
          <w:rFonts w:asciiTheme="majorBidi" w:hAnsiTheme="majorBidi" w:cstheme="majorBidi"/>
          <w:sz w:val="24"/>
          <w:szCs w:val="24"/>
        </w:rPr>
        <w:t>du contexte associatif et institutionnel marocain, idéalement dans le domaine de l’environnement ou de la biodiversité ;</w:t>
      </w:r>
    </w:p>
    <w:p w14:paraId="75BE7865" w14:textId="27794EEB" w:rsidR="002E49AA" w:rsidRPr="009C40B1" w:rsidRDefault="009C40B1" w:rsidP="009F45C2">
      <w:pPr>
        <w:spacing w:after="0" w:line="276" w:lineRule="auto"/>
        <w:jc w:val="both"/>
        <w:rPr>
          <w:rFonts w:asciiTheme="majorBidi" w:eastAsia="Times New Roman" w:hAnsiTheme="majorBidi" w:cstheme="majorBidi"/>
          <w:color w:val="000000"/>
          <w:kern w:val="0"/>
          <w:sz w:val="24"/>
          <w:szCs w:val="24"/>
          <w:lang w:eastAsia="fr-FR"/>
          <w14:ligatures w14:val="none"/>
        </w:rPr>
      </w:pPr>
      <w:r>
        <w:rPr>
          <w:rFonts w:asciiTheme="majorBidi" w:eastAsia="Times New Roman" w:hAnsiTheme="majorBidi" w:cstheme="majorBidi"/>
          <w:color w:val="000000"/>
          <w:kern w:val="0"/>
          <w:sz w:val="24"/>
          <w:szCs w:val="24"/>
          <w:lang w:eastAsia="fr-FR"/>
          <w14:ligatures w14:val="none"/>
        </w:rPr>
        <w:t>-</w:t>
      </w:r>
      <w:r w:rsidRPr="009C40B1">
        <w:rPr>
          <w:rFonts w:asciiTheme="majorBidi" w:eastAsia="Times New Roman" w:hAnsiTheme="majorBidi" w:cstheme="majorBidi"/>
          <w:color w:val="000000"/>
          <w:kern w:val="0"/>
          <w:sz w:val="24"/>
          <w:szCs w:val="24"/>
          <w:lang w:eastAsia="fr-FR"/>
          <w14:ligatures w14:val="none"/>
        </w:rPr>
        <w:t>Une expérience avérée dans l’élaboration de plans d’action pour des institutions similaires</w:t>
      </w:r>
      <w:r w:rsidR="0085018F">
        <w:rPr>
          <w:rFonts w:asciiTheme="majorBidi" w:eastAsia="Times New Roman" w:hAnsiTheme="majorBidi" w:cstheme="majorBidi"/>
          <w:color w:val="000000"/>
          <w:kern w:val="0"/>
          <w:sz w:val="24"/>
          <w:szCs w:val="24"/>
          <w:lang w:eastAsia="fr-FR"/>
          <w14:ligatures w14:val="none"/>
        </w:rPr>
        <w:t>.</w:t>
      </w:r>
    </w:p>
    <w:p w14:paraId="37C075BC" w14:textId="68371A11" w:rsidR="002E49AA" w:rsidRPr="002E49AA" w:rsidRDefault="002E49AA" w:rsidP="009F45C2">
      <w:pPr>
        <w:spacing w:after="0" w:line="276" w:lineRule="auto"/>
      </w:pPr>
    </w:p>
    <w:p w14:paraId="6D717513" w14:textId="77777777" w:rsidR="002E49AA" w:rsidRPr="002E49AA" w:rsidRDefault="002E49AA" w:rsidP="009F45C2">
      <w:pPr>
        <w:spacing w:line="276" w:lineRule="auto"/>
        <w:rPr>
          <w:rFonts w:asciiTheme="majorBidi" w:hAnsiTheme="majorBidi" w:cstheme="majorBidi"/>
          <w:b/>
          <w:bCs/>
          <w:sz w:val="26"/>
          <w:szCs w:val="26"/>
        </w:rPr>
      </w:pPr>
      <w:bookmarkStart w:id="1" w:name="_Hlk218634963"/>
      <w:r w:rsidRPr="002E49AA">
        <w:rPr>
          <w:rFonts w:asciiTheme="majorBidi" w:hAnsiTheme="majorBidi" w:cstheme="majorBidi"/>
          <w:b/>
          <w:bCs/>
          <w:sz w:val="26"/>
          <w:szCs w:val="26"/>
        </w:rPr>
        <w:t>8. Modalités de supervision et de coordination</w:t>
      </w:r>
    </w:p>
    <w:p w14:paraId="468FCEC8" w14:textId="6DBD5617" w:rsidR="002E49AA" w:rsidRPr="002E49AA" w:rsidRDefault="002E49AA" w:rsidP="009F45C2">
      <w:pPr>
        <w:spacing w:line="276" w:lineRule="auto"/>
        <w:jc w:val="both"/>
        <w:rPr>
          <w:rFonts w:asciiTheme="majorBidi" w:hAnsiTheme="majorBidi" w:cstheme="majorBidi"/>
          <w:sz w:val="24"/>
          <w:szCs w:val="24"/>
        </w:rPr>
      </w:pPr>
      <w:r w:rsidRPr="002E49AA">
        <w:rPr>
          <w:rFonts w:asciiTheme="majorBidi" w:hAnsiTheme="majorBidi" w:cstheme="majorBidi"/>
          <w:sz w:val="24"/>
          <w:szCs w:val="24"/>
        </w:rPr>
        <w:t xml:space="preserve">Le/la consultant(e) travaillera sous la supervision directe de l’équipe </w:t>
      </w:r>
      <w:r w:rsidR="00D37C68" w:rsidRPr="00D37C68">
        <w:rPr>
          <w:rFonts w:asciiTheme="majorBidi" w:hAnsiTheme="majorBidi" w:cstheme="majorBidi"/>
          <w:sz w:val="24"/>
          <w:szCs w:val="24"/>
        </w:rPr>
        <w:t>de</w:t>
      </w:r>
      <w:r w:rsidRPr="002E49AA">
        <w:rPr>
          <w:rFonts w:asciiTheme="majorBidi" w:hAnsiTheme="majorBidi" w:cstheme="majorBidi"/>
          <w:sz w:val="24"/>
          <w:szCs w:val="24"/>
        </w:rPr>
        <w:t xml:space="preserve"> GREPOM/BirdLife Maroc, en étroite collaboration avec les membres de l’Alliance Marocaine des Zones Humides.</w:t>
      </w:r>
    </w:p>
    <w:p w14:paraId="15FC964A" w14:textId="77777777" w:rsidR="002E49AA" w:rsidRPr="002E49AA" w:rsidRDefault="002E49AA" w:rsidP="009F45C2">
      <w:pPr>
        <w:spacing w:line="276" w:lineRule="auto"/>
        <w:rPr>
          <w:rFonts w:asciiTheme="majorBidi" w:hAnsiTheme="majorBidi" w:cstheme="majorBidi"/>
          <w:b/>
          <w:bCs/>
          <w:sz w:val="26"/>
          <w:szCs w:val="26"/>
        </w:rPr>
      </w:pPr>
      <w:r w:rsidRPr="002E49AA">
        <w:rPr>
          <w:rFonts w:asciiTheme="majorBidi" w:hAnsiTheme="majorBidi" w:cstheme="majorBidi"/>
          <w:b/>
          <w:bCs/>
          <w:sz w:val="26"/>
          <w:szCs w:val="26"/>
        </w:rPr>
        <w:t>9. Modalités de soumission</w:t>
      </w:r>
    </w:p>
    <w:p w14:paraId="161E613D" w14:textId="77777777" w:rsidR="002E49AA" w:rsidRPr="002E49AA" w:rsidRDefault="002E49AA" w:rsidP="002E49AA">
      <w:pPr>
        <w:rPr>
          <w:rFonts w:asciiTheme="majorBidi" w:hAnsiTheme="majorBidi" w:cstheme="majorBidi"/>
          <w:sz w:val="24"/>
          <w:szCs w:val="24"/>
        </w:rPr>
      </w:pPr>
      <w:r w:rsidRPr="002E49AA">
        <w:rPr>
          <w:rFonts w:asciiTheme="majorBidi" w:hAnsiTheme="majorBidi" w:cstheme="majorBidi"/>
          <w:sz w:val="24"/>
          <w:szCs w:val="24"/>
        </w:rPr>
        <w:t>Les candidat(e)s intéressé(e)s sont invité(e)s à soumettre :</w:t>
      </w:r>
    </w:p>
    <w:p w14:paraId="26851829" w14:textId="1C4BF835" w:rsidR="002E49AA" w:rsidRPr="002E49AA" w:rsidRDefault="005C0954" w:rsidP="00F020A2">
      <w:pPr>
        <w:spacing w:after="0"/>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Une offre technique incluant la compréhension des TDR, la méthodologie proposée et le chronogramme ;</w:t>
      </w:r>
    </w:p>
    <w:p w14:paraId="5AFC9CCF" w14:textId="11CE203C" w:rsidR="002E49AA" w:rsidRPr="002E49AA" w:rsidRDefault="005C0954" w:rsidP="00F020A2">
      <w:pPr>
        <w:spacing w:after="0"/>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 xml:space="preserve">Une offre </w:t>
      </w:r>
      <w:r w:rsidR="00DC05D9" w:rsidRPr="002E49AA">
        <w:rPr>
          <w:rFonts w:asciiTheme="majorBidi" w:hAnsiTheme="majorBidi" w:cstheme="majorBidi"/>
          <w:sz w:val="24"/>
          <w:szCs w:val="24"/>
        </w:rPr>
        <w:t>financière détaillée</w:t>
      </w:r>
      <w:r w:rsidR="00E05023">
        <w:rPr>
          <w:rFonts w:asciiTheme="majorBidi" w:hAnsiTheme="majorBidi" w:cstheme="majorBidi"/>
          <w:sz w:val="24"/>
          <w:szCs w:val="24"/>
        </w:rPr>
        <w:t xml:space="preserve"> </w:t>
      </w:r>
      <w:r w:rsidR="002E49AA" w:rsidRPr="002E49AA">
        <w:rPr>
          <w:rFonts w:asciiTheme="majorBidi" w:hAnsiTheme="majorBidi" w:cstheme="majorBidi"/>
          <w:sz w:val="24"/>
          <w:szCs w:val="24"/>
        </w:rPr>
        <w:t>;</w:t>
      </w:r>
    </w:p>
    <w:p w14:paraId="281888B8" w14:textId="59423225" w:rsidR="002E49AA" w:rsidRPr="002E49AA" w:rsidRDefault="005C0954" w:rsidP="00F020A2">
      <w:pPr>
        <w:spacing w:after="0"/>
        <w:rPr>
          <w:rFonts w:asciiTheme="majorBidi" w:hAnsiTheme="majorBidi" w:cstheme="majorBidi"/>
          <w:sz w:val="24"/>
          <w:szCs w:val="24"/>
        </w:rPr>
      </w:pPr>
      <w:r>
        <w:rPr>
          <w:rFonts w:asciiTheme="majorBidi" w:hAnsiTheme="majorBidi" w:cstheme="majorBidi"/>
          <w:sz w:val="24"/>
          <w:szCs w:val="24"/>
        </w:rPr>
        <w:t>-</w:t>
      </w:r>
      <w:r w:rsidR="002E49AA" w:rsidRPr="002E49AA">
        <w:rPr>
          <w:rFonts w:asciiTheme="majorBidi" w:hAnsiTheme="majorBidi" w:cstheme="majorBidi"/>
          <w:sz w:val="24"/>
          <w:szCs w:val="24"/>
        </w:rPr>
        <w:t>Un CV actualisé ;</w:t>
      </w:r>
    </w:p>
    <w:p w14:paraId="487B20AB" w14:textId="6B0BB584" w:rsidR="008A2BCD" w:rsidRDefault="005C0954" w:rsidP="00F020A2">
      <w:pPr>
        <w:rPr>
          <w:rFonts w:asciiTheme="majorBidi" w:hAnsiTheme="majorBidi" w:cstheme="majorBidi"/>
          <w:sz w:val="24"/>
          <w:szCs w:val="24"/>
        </w:rPr>
      </w:pPr>
      <w:r w:rsidRPr="005C0954">
        <w:rPr>
          <w:rFonts w:asciiTheme="majorBidi" w:hAnsiTheme="majorBidi" w:cstheme="majorBidi"/>
          <w:sz w:val="24"/>
          <w:szCs w:val="24"/>
        </w:rPr>
        <w:t>-</w:t>
      </w:r>
      <w:r w:rsidR="002E49AA" w:rsidRPr="002E49AA">
        <w:rPr>
          <w:rFonts w:asciiTheme="majorBidi" w:hAnsiTheme="majorBidi" w:cstheme="majorBidi"/>
          <w:sz w:val="24"/>
          <w:szCs w:val="24"/>
        </w:rPr>
        <w:t>Des références de missions similaires.</w:t>
      </w:r>
    </w:p>
    <w:p w14:paraId="0C391AD7" w14:textId="77777777" w:rsidR="00F020A2" w:rsidRDefault="00F020A2" w:rsidP="008A2BCD">
      <w:pPr>
        <w:rPr>
          <w:rFonts w:asciiTheme="majorBidi" w:hAnsiTheme="majorBidi" w:cstheme="majorBidi"/>
          <w:b/>
          <w:bCs/>
          <w:sz w:val="24"/>
          <w:szCs w:val="24"/>
        </w:rPr>
      </w:pPr>
    </w:p>
    <w:p w14:paraId="101FDA13" w14:textId="05C7671A" w:rsidR="008A2BCD" w:rsidRPr="003A7071" w:rsidRDefault="008A2BCD" w:rsidP="00F020A2">
      <w:pPr>
        <w:spacing w:line="276" w:lineRule="auto"/>
        <w:rPr>
          <w:rFonts w:asciiTheme="majorBidi" w:hAnsiTheme="majorBidi" w:cstheme="majorBidi"/>
          <w:b/>
          <w:bCs/>
          <w:sz w:val="24"/>
          <w:szCs w:val="24"/>
        </w:rPr>
      </w:pPr>
      <w:r w:rsidRPr="003A7071">
        <w:rPr>
          <w:rFonts w:asciiTheme="majorBidi" w:hAnsiTheme="majorBidi" w:cstheme="majorBidi"/>
          <w:b/>
          <w:bCs/>
          <w:sz w:val="24"/>
          <w:szCs w:val="24"/>
        </w:rPr>
        <w:lastRenderedPageBreak/>
        <w:t>Réception des candidatures</w:t>
      </w:r>
    </w:p>
    <w:p w14:paraId="5ADA9F58" w14:textId="1121650D" w:rsidR="008A2BCD" w:rsidRPr="008A2BCD" w:rsidRDefault="008A2BCD" w:rsidP="00D03023">
      <w:pPr>
        <w:spacing w:line="276" w:lineRule="auto"/>
        <w:jc w:val="both"/>
        <w:rPr>
          <w:rFonts w:asciiTheme="majorBidi" w:hAnsiTheme="majorBidi" w:cstheme="majorBidi"/>
          <w:sz w:val="24"/>
          <w:szCs w:val="24"/>
        </w:rPr>
      </w:pPr>
      <w:r w:rsidRPr="003A7071">
        <w:rPr>
          <w:rFonts w:asciiTheme="majorBidi" w:hAnsiTheme="majorBidi" w:cstheme="majorBidi"/>
          <w:sz w:val="24"/>
          <w:szCs w:val="24"/>
        </w:rPr>
        <w:t>Le dossier de candidature doit être envoyé en format numérique, à l’adresse électronique :</w:t>
      </w:r>
      <w:r w:rsidRPr="003A7071">
        <w:rPr>
          <w:rFonts w:asciiTheme="majorBidi" w:hAnsiTheme="majorBidi" w:cstheme="majorBidi"/>
          <w:sz w:val="24"/>
          <w:szCs w:val="24"/>
        </w:rPr>
        <w:br/>
      </w:r>
      <w:r w:rsidRPr="00D03023">
        <w:rPr>
          <w:rFonts w:asciiTheme="majorBidi" w:hAnsiTheme="majorBidi" w:cstheme="majorBidi"/>
          <w:color w:val="002060"/>
          <w:sz w:val="24"/>
          <w:szCs w:val="24"/>
          <w:u w:val="single"/>
        </w:rPr>
        <w:t>recrutement.grepom@gmail.com</w:t>
      </w:r>
      <w:r w:rsidRPr="003A7071">
        <w:rPr>
          <w:rFonts w:asciiTheme="majorBidi" w:hAnsiTheme="majorBidi" w:cstheme="majorBidi"/>
          <w:sz w:val="24"/>
          <w:szCs w:val="24"/>
        </w:rPr>
        <w:t xml:space="preserve"> en inscrivant dans l’objet « Candidature au poste</w:t>
      </w:r>
      <w:r w:rsidRPr="003A7071">
        <w:rPr>
          <w:rFonts w:asciiTheme="majorBidi" w:hAnsiTheme="majorBidi" w:cstheme="majorBidi"/>
          <w:sz w:val="24"/>
          <w:szCs w:val="24"/>
        </w:rPr>
        <w:br/>
        <w:t>Stratégie</w:t>
      </w:r>
      <w:r>
        <w:rPr>
          <w:rFonts w:asciiTheme="majorBidi" w:hAnsiTheme="majorBidi" w:cstheme="majorBidi"/>
          <w:sz w:val="24"/>
          <w:szCs w:val="24"/>
        </w:rPr>
        <w:t xml:space="preserve"> de Alliance Marocaine des Zones Humide</w:t>
      </w:r>
      <w:r w:rsidRPr="003A7071">
        <w:rPr>
          <w:rFonts w:asciiTheme="majorBidi" w:hAnsiTheme="majorBidi" w:cstheme="majorBidi"/>
          <w:sz w:val="24"/>
          <w:szCs w:val="24"/>
        </w:rPr>
        <w:t>_202</w:t>
      </w:r>
      <w:r>
        <w:rPr>
          <w:rFonts w:asciiTheme="majorBidi" w:hAnsiTheme="majorBidi" w:cstheme="majorBidi"/>
          <w:sz w:val="24"/>
          <w:szCs w:val="24"/>
        </w:rPr>
        <w:t>6</w:t>
      </w:r>
      <w:r w:rsidRPr="003A7071">
        <w:rPr>
          <w:rFonts w:asciiTheme="majorBidi" w:hAnsiTheme="majorBidi" w:cstheme="majorBidi"/>
          <w:sz w:val="24"/>
          <w:szCs w:val="24"/>
        </w:rPr>
        <w:t>″.</w:t>
      </w:r>
      <w:r>
        <w:rPr>
          <w:rFonts w:asciiTheme="majorBidi" w:hAnsiTheme="majorBidi" w:cstheme="majorBidi"/>
          <w:sz w:val="24"/>
          <w:szCs w:val="24"/>
        </w:rPr>
        <w:t xml:space="preserve">  </w:t>
      </w:r>
    </w:p>
    <w:p w14:paraId="7CBDF49F" w14:textId="3A5E9DDB" w:rsidR="008A2BCD" w:rsidRDefault="008A2BCD" w:rsidP="00F020A2">
      <w:pPr>
        <w:spacing w:line="276" w:lineRule="auto"/>
        <w:jc w:val="both"/>
        <w:rPr>
          <w:rFonts w:asciiTheme="majorBidi" w:hAnsiTheme="majorBidi" w:cstheme="majorBidi"/>
          <w:b/>
          <w:bCs/>
          <w:sz w:val="24"/>
          <w:szCs w:val="24"/>
        </w:rPr>
      </w:pPr>
      <w:r w:rsidRPr="003A7071">
        <w:rPr>
          <w:rFonts w:asciiTheme="majorBidi" w:hAnsiTheme="majorBidi" w:cstheme="majorBidi"/>
          <w:b/>
          <w:bCs/>
          <w:sz w:val="24"/>
          <w:szCs w:val="24"/>
        </w:rPr>
        <w:t>Modalités de sélection</w:t>
      </w:r>
    </w:p>
    <w:p w14:paraId="1E5E7CC3" w14:textId="77777777" w:rsidR="008A2BCD" w:rsidRPr="003A7071" w:rsidRDefault="008A2BCD" w:rsidP="00F020A2">
      <w:pPr>
        <w:spacing w:line="276" w:lineRule="auto"/>
        <w:jc w:val="both"/>
        <w:rPr>
          <w:rFonts w:asciiTheme="majorBidi" w:hAnsiTheme="majorBidi" w:cstheme="majorBidi"/>
          <w:sz w:val="24"/>
          <w:szCs w:val="24"/>
        </w:rPr>
      </w:pPr>
      <w:r w:rsidRPr="007500F1">
        <w:rPr>
          <w:rFonts w:asciiTheme="majorBidi" w:hAnsiTheme="majorBidi" w:cstheme="majorBidi"/>
          <w:sz w:val="24"/>
          <w:szCs w:val="24"/>
        </w:rPr>
        <w:t>La sélection</w:t>
      </w:r>
      <w:r>
        <w:rPr>
          <w:rFonts w:asciiTheme="majorBidi" w:hAnsiTheme="majorBidi" w:cstheme="majorBidi"/>
          <w:sz w:val="24"/>
          <w:szCs w:val="24"/>
        </w:rPr>
        <w:t xml:space="preserve"> </w:t>
      </w:r>
      <w:r w:rsidRPr="007500F1">
        <w:rPr>
          <w:rFonts w:asciiTheme="majorBidi" w:hAnsiTheme="majorBidi" w:cstheme="majorBidi"/>
          <w:sz w:val="24"/>
          <w:szCs w:val="24"/>
        </w:rPr>
        <w:t>sera effectuée selon une procédure compétitive et transparente, sur la base d’une évaluation des offres techniques et financières. Les critères porteront principalement sur la qualité de la méthodologie proposée, l’expérience et les références en lien avec des missions similaires, ainsi que sur la cohérence de l’offre financière. Une attention particulière sera accordée à la capacité du/de la consultant(e) à conduire des processus participatifs multi-acteurs et à assurer le transfert de compétences. Les candidat(e)s présélectionné(e)s pourront être invité(e)s à un entretien, en présentiel ou à distance.</w:t>
      </w:r>
    </w:p>
    <w:p w14:paraId="07777815" w14:textId="234D9B1A" w:rsidR="001B168D" w:rsidRPr="002E49AA" w:rsidRDefault="001B168D" w:rsidP="001B168D">
      <w:pPr>
        <w:rPr>
          <w:rFonts w:asciiTheme="majorBidi" w:hAnsiTheme="majorBidi" w:cstheme="majorBidi"/>
          <w:sz w:val="24"/>
          <w:szCs w:val="24"/>
        </w:rPr>
      </w:pPr>
    </w:p>
    <w:bookmarkEnd w:id="1"/>
    <w:p w14:paraId="1FA3D8B0" w14:textId="77777777" w:rsidR="004C5853" w:rsidRDefault="004C5853"/>
    <w:sectPr w:rsidR="004C58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54E8" w14:textId="77777777" w:rsidR="001B7A13" w:rsidRDefault="001B7A13" w:rsidP="00BC32CC">
      <w:pPr>
        <w:spacing w:after="0" w:line="240" w:lineRule="auto"/>
      </w:pPr>
      <w:r>
        <w:separator/>
      </w:r>
    </w:p>
  </w:endnote>
  <w:endnote w:type="continuationSeparator" w:id="0">
    <w:p w14:paraId="47C8E7A3" w14:textId="77777777" w:rsidR="001B7A13" w:rsidRDefault="001B7A13" w:rsidP="00BC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E3BF" w14:textId="77777777" w:rsidR="00BC32CC" w:rsidRDefault="00BC32CC" w:rsidP="00BC32CC">
    <w:pPr>
      <w:rPr>
        <w:rFonts w:ascii="Book Antiqua" w:eastAsia="Book Antiqua" w:hAnsi="Book Antiqua" w:cs="Book Antiqua"/>
        <w:color w:val="222222"/>
        <w:sz w:val="15"/>
        <w:szCs w:val="15"/>
      </w:rPr>
    </w:pPr>
    <w:r>
      <w:rPr>
        <w:rFonts w:ascii="Book Antiqua" w:eastAsia="Book Antiqua" w:hAnsi="Book Antiqua" w:cs="Book Antiqua"/>
        <w:b/>
        <w:color w:val="222222"/>
        <w:sz w:val="15"/>
        <w:szCs w:val="15"/>
      </w:rPr>
      <w:t>Bur. exécutif</w:t>
    </w:r>
    <w:r>
      <w:rPr>
        <w:rFonts w:ascii="Book Antiqua" w:eastAsia="Book Antiqua" w:hAnsi="Book Antiqua" w:cs="Book Antiqua"/>
        <w:color w:val="222222"/>
        <w:sz w:val="15"/>
        <w:szCs w:val="15"/>
      </w:rPr>
      <w:t xml:space="preserve"> : Résid. Oum Hani IV, Imm 22, Apt 3, 11160 Salé, Maroc                      </w:t>
    </w:r>
    <w:r>
      <w:rPr>
        <w:rFonts w:ascii="Times New Roman" w:eastAsia="Book Antiqua" w:hAnsi="Times New Roman" w:cs="Times New Roman" w:hint="cs"/>
        <w:color w:val="222222"/>
        <w:sz w:val="15"/>
        <w:szCs w:val="15"/>
        <w:rtl/>
      </w:rPr>
      <w:t>اقامة</w:t>
    </w:r>
    <w:r>
      <w:rPr>
        <w:rFonts w:ascii="Book Antiqua" w:eastAsia="Book Antiqua" w:hAnsi="Book Antiqua" w:cs="Book Antiqua"/>
        <w:color w:val="222222"/>
        <w:sz w:val="15"/>
        <w:szCs w:val="15"/>
        <w:rtl/>
      </w:rPr>
      <w:t xml:space="preserve"> </w:t>
    </w:r>
    <w:r>
      <w:rPr>
        <w:rFonts w:ascii="Times New Roman" w:eastAsia="Book Antiqua" w:hAnsi="Times New Roman" w:cs="Times New Roman" w:hint="cs"/>
        <w:color w:val="222222"/>
        <w:sz w:val="15"/>
        <w:szCs w:val="15"/>
        <w:rtl/>
      </w:rPr>
      <w:t>أم</w:t>
    </w:r>
    <w:r>
      <w:rPr>
        <w:rFonts w:ascii="Book Antiqua" w:eastAsia="Book Antiqua" w:hAnsi="Book Antiqua" w:cs="Book Antiqua"/>
        <w:color w:val="222222"/>
        <w:sz w:val="15"/>
        <w:szCs w:val="15"/>
        <w:rtl/>
      </w:rPr>
      <w:t xml:space="preserve"> </w:t>
    </w:r>
    <w:r>
      <w:rPr>
        <w:rFonts w:ascii="Times New Roman" w:eastAsia="Book Antiqua" w:hAnsi="Times New Roman" w:cs="Times New Roman" w:hint="cs"/>
        <w:color w:val="222222"/>
        <w:sz w:val="15"/>
        <w:szCs w:val="15"/>
        <w:rtl/>
      </w:rPr>
      <w:t>هاني</w:t>
    </w:r>
    <w:r>
      <w:rPr>
        <w:rFonts w:ascii="Book Antiqua" w:eastAsia="Book Antiqua" w:hAnsi="Book Antiqua" w:cs="Book Antiqua"/>
        <w:color w:val="222222"/>
        <w:sz w:val="15"/>
        <w:szCs w:val="15"/>
        <w:rtl/>
      </w:rPr>
      <w:t xml:space="preserve"> 4</w:t>
    </w:r>
    <w:r>
      <w:rPr>
        <w:rFonts w:ascii="Times New Roman" w:eastAsia="Book Antiqua" w:hAnsi="Times New Roman" w:cs="Times New Roman" w:hint="cs"/>
        <w:color w:val="222222"/>
        <w:sz w:val="15"/>
        <w:szCs w:val="15"/>
        <w:rtl/>
      </w:rPr>
      <w:t>،عمارة</w:t>
    </w:r>
    <w:r>
      <w:rPr>
        <w:rFonts w:ascii="Book Antiqua" w:eastAsia="Book Antiqua" w:hAnsi="Book Antiqua" w:cs="Book Antiqua"/>
        <w:color w:val="222222"/>
        <w:sz w:val="15"/>
        <w:szCs w:val="15"/>
        <w:rtl/>
      </w:rPr>
      <w:t xml:space="preserve"> 22</w:t>
    </w:r>
    <w:r>
      <w:rPr>
        <w:rFonts w:ascii="Times New Roman" w:eastAsia="Book Antiqua" w:hAnsi="Times New Roman" w:cs="Times New Roman" w:hint="cs"/>
        <w:color w:val="222222"/>
        <w:sz w:val="15"/>
        <w:szCs w:val="15"/>
        <w:rtl/>
      </w:rPr>
      <w:t>،</w:t>
    </w:r>
    <w:r>
      <w:rPr>
        <w:rFonts w:ascii="Book Antiqua" w:eastAsia="Book Antiqua" w:hAnsi="Book Antiqua" w:cs="Book Antiqua"/>
        <w:color w:val="222222"/>
        <w:sz w:val="15"/>
        <w:szCs w:val="15"/>
        <w:rtl/>
      </w:rPr>
      <w:t xml:space="preserve"> </w:t>
    </w:r>
    <w:r>
      <w:rPr>
        <w:rFonts w:ascii="Times New Roman" w:eastAsia="Book Antiqua" w:hAnsi="Times New Roman" w:cs="Times New Roman" w:hint="cs"/>
        <w:color w:val="222222"/>
        <w:sz w:val="15"/>
        <w:szCs w:val="15"/>
        <w:rtl/>
      </w:rPr>
      <w:t>شقة</w:t>
    </w:r>
    <w:r>
      <w:rPr>
        <w:rFonts w:ascii="Book Antiqua" w:eastAsia="Book Antiqua" w:hAnsi="Book Antiqua" w:cs="Book Antiqua"/>
        <w:color w:val="222222"/>
        <w:sz w:val="15"/>
        <w:szCs w:val="15"/>
        <w:rtl/>
      </w:rPr>
      <w:t xml:space="preserve"> 3</w:t>
    </w:r>
    <w:r>
      <w:rPr>
        <w:rFonts w:ascii="Times New Roman" w:eastAsia="Book Antiqua" w:hAnsi="Times New Roman" w:cs="Times New Roman" w:hint="cs"/>
        <w:color w:val="222222"/>
        <w:sz w:val="15"/>
        <w:szCs w:val="15"/>
        <w:rtl/>
      </w:rPr>
      <w:t>،</w:t>
    </w:r>
    <w:r>
      <w:rPr>
        <w:rFonts w:ascii="Book Antiqua" w:eastAsia="Book Antiqua" w:hAnsi="Book Antiqua" w:cs="Book Antiqua"/>
        <w:color w:val="222222"/>
        <w:sz w:val="15"/>
        <w:szCs w:val="15"/>
        <w:rtl/>
      </w:rPr>
      <w:t xml:space="preserve"> 11160 </w:t>
    </w:r>
    <w:r>
      <w:rPr>
        <w:rFonts w:ascii="Times New Roman" w:eastAsia="Book Antiqua" w:hAnsi="Times New Roman" w:cs="Times New Roman" w:hint="cs"/>
        <w:color w:val="222222"/>
        <w:sz w:val="15"/>
        <w:szCs w:val="15"/>
        <w:rtl/>
      </w:rPr>
      <w:t>سلا،المغرب</w:t>
    </w:r>
    <w:r>
      <w:rPr>
        <w:rFonts w:ascii="Book Antiqua" w:eastAsia="Book Antiqua" w:hAnsi="Book Antiqua" w:cs="Book Antiqua"/>
        <w:color w:val="222222"/>
        <w:sz w:val="15"/>
        <w:szCs w:val="15"/>
        <w:rtl/>
      </w:rPr>
      <w:t>:</w:t>
    </w:r>
    <w:r>
      <w:rPr>
        <w:rFonts w:ascii="Times New Roman" w:eastAsia="Book Antiqua" w:hAnsi="Times New Roman" w:cs="Times New Roman" w:hint="cs"/>
        <w:b/>
        <w:color w:val="222222"/>
        <w:sz w:val="15"/>
        <w:szCs w:val="15"/>
        <w:rtl/>
      </w:rPr>
      <w:t>المكتب</w:t>
    </w:r>
    <w:r>
      <w:rPr>
        <w:rFonts w:ascii="Book Antiqua" w:eastAsia="Book Antiqua" w:hAnsi="Book Antiqua" w:cs="Book Antiqua"/>
        <w:b/>
        <w:color w:val="222222"/>
        <w:sz w:val="15"/>
        <w:szCs w:val="15"/>
        <w:rtl/>
      </w:rPr>
      <w:t xml:space="preserve"> </w:t>
    </w:r>
    <w:r>
      <w:rPr>
        <w:rFonts w:ascii="Times New Roman" w:eastAsia="Book Antiqua" w:hAnsi="Times New Roman" w:cs="Times New Roman" w:hint="cs"/>
        <w:b/>
        <w:color w:val="222222"/>
        <w:sz w:val="15"/>
        <w:szCs w:val="15"/>
        <w:rtl/>
      </w:rPr>
      <w:t>التنفيذي</w:t>
    </w:r>
    <w:r>
      <w:rPr>
        <w:rFonts w:ascii="Book Antiqua" w:eastAsia="Book Antiqua" w:hAnsi="Book Antiqua" w:cs="Book Antiqua"/>
        <w:b/>
        <w:color w:val="222222"/>
        <w:sz w:val="15"/>
        <w:szCs w:val="15"/>
      </w:rPr>
      <w:t xml:space="preserve"> </w:t>
    </w:r>
  </w:p>
  <w:p w14:paraId="784C074D" w14:textId="77777777" w:rsidR="00BC32CC" w:rsidRDefault="00BC32CC" w:rsidP="00BC32CC">
    <w:pPr>
      <w:shd w:val="clear" w:color="auto" w:fill="FFFFFF"/>
      <w:jc w:val="center"/>
      <w:rPr>
        <w:rFonts w:ascii="Book Antiqua" w:eastAsia="Book Antiqua" w:hAnsi="Book Antiqua" w:cs="Book Antiqua"/>
        <w:color w:val="222222"/>
        <w:sz w:val="15"/>
        <w:szCs w:val="15"/>
      </w:rPr>
    </w:pPr>
    <w:hyperlink r:id="rId1">
      <w:r>
        <w:rPr>
          <w:rFonts w:ascii="Book Antiqua" w:eastAsia="Book Antiqua" w:hAnsi="Book Antiqua" w:cs="Book Antiqua"/>
          <w:color w:val="222222"/>
          <w:sz w:val="15"/>
          <w:szCs w:val="15"/>
          <w:u w:val="single"/>
        </w:rPr>
        <w:t>www.grepom.org</w:t>
      </w:r>
    </w:hyperlink>
    <w:r>
      <w:rPr>
        <w:rFonts w:ascii="Book Antiqua" w:eastAsia="Book Antiqua" w:hAnsi="Book Antiqua" w:cs="Book Antiqua"/>
        <w:color w:val="222222"/>
        <w:sz w:val="15"/>
        <w:szCs w:val="15"/>
      </w:rPr>
      <w:t xml:space="preserve">  / </w:t>
    </w:r>
    <w:hyperlink r:id="rId2">
      <w:r>
        <w:rPr>
          <w:rFonts w:ascii="Book Antiqua" w:eastAsia="Book Antiqua" w:hAnsi="Book Antiqua" w:cs="Book Antiqua"/>
          <w:color w:val="0000FF"/>
          <w:sz w:val="15"/>
          <w:szCs w:val="15"/>
          <w:u w:val="single"/>
        </w:rPr>
        <w:t>grepom@grepom.org</w:t>
      </w:r>
    </w:hyperlink>
    <w:r>
      <w:rPr>
        <w:rFonts w:ascii="Book Antiqua" w:eastAsia="Book Antiqua" w:hAnsi="Book Antiqua" w:cs="Book Antiqua"/>
        <w:color w:val="222222"/>
        <w:sz w:val="15"/>
        <w:szCs w:val="15"/>
      </w:rPr>
      <w:t xml:space="preserve">, Tél / Fax : +212  5 37 84 76 63 : </w:t>
    </w:r>
    <w:r>
      <w:rPr>
        <w:rFonts w:ascii="Arial" w:eastAsia="Arial" w:hAnsi="Arial" w:cs="Arial"/>
        <w:b/>
        <w:color w:val="222222"/>
        <w:sz w:val="19"/>
        <w:szCs w:val="19"/>
        <w:highlight w:val="white"/>
        <w:rtl/>
      </w:rPr>
      <w:t>الفاكس</w:t>
    </w:r>
    <w:r>
      <w:rPr>
        <w:rFonts w:ascii="Arial" w:eastAsia="Arial" w:hAnsi="Arial" w:cs="Arial"/>
        <w:b/>
        <w:color w:val="222222"/>
        <w:sz w:val="19"/>
        <w:szCs w:val="19"/>
        <w:highlight w:val="white"/>
      </w:rPr>
      <w:t xml:space="preserve"> </w:t>
    </w:r>
    <w:r>
      <w:rPr>
        <w:rFonts w:ascii="Book Antiqua" w:eastAsia="Book Antiqua" w:hAnsi="Book Antiqua" w:cs="Book Antiqua"/>
        <w:b/>
        <w:color w:val="222222"/>
        <w:sz w:val="15"/>
        <w:szCs w:val="15"/>
      </w:rPr>
      <w:t xml:space="preserve">/ </w:t>
    </w:r>
    <w:r>
      <w:rPr>
        <w:rFonts w:ascii="Times New Roman" w:eastAsia="Book Antiqua" w:hAnsi="Times New Roman" w:cs="Times New Roman" w:hint="cs"/>
        <w:b/>
        <w:color w:val="222222"/>
        <w:sz w:val="15"/>
        <w:szCs w:val="15"/>
        <w:rtl/>
      </w:rPr>
      <w:t>الهاتف</w:t>
    </w:r>
  </w:p>
  <w:p w14:paraId="2B4BDAB5" w14:textId="77777777" w:rsidR="00BC32CC" w:rsidRDefault="00BC32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7977" w14:textId="77777777" w:rsidR="001B7A13" w:rsidRDefault="001B7A13" w:rsidP="00BC32CC">
      <w:pPr>
        <w:spacing w:after="0" w:line="240" w:lineRule="auto"/>
      </w:pPr>
      <w:r>
        <w:separator/>
      </w:r>
    </w:p>
  </w:footnote>
  <w:footnote w:type="continuationSeparator" w:id="0">
    <w:p w14:paraId="6751D400" w14:textId="77777777" w:rsidR="001B7A13" w:rsidRDefault="001B7A13" w:rsidP="00BC3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0CAB" w14:textId="6749885B" w:rsidR="00BC32CC" w:rsidRDefault="00BC32CC">
    <w:pPr>
      <w:pStyle w:val="En-tte"/>
    </w:pPr>
    <w:r>
      <w:rPr>
        <w:noProof/>
        <w:color w:val="000000"/>
      </w:rPr>
      <w:drawing>
        <wp:anchor distT="0" distB="0" distL="114300" distR="114300" simplePos="0" relativeHeight="251659264" behindDoc="1" locked="0" layoutInCell="1" allowOverlap="1" wp14:anchorId="0B00ED4B" wp14:editId="51874217">
          <wp:simplePos x="0" y="0"/>
          <wp:positionH relativeFrom="margin">
            <wp:posOffset>0</wp:posOffset>
          </wp:positionH>
          <wp:positionV relativeFrom="paragraph">
            <wp:posOffset>-125730</wp:posOffset>
          </wp:positionV>
          <wp:extent cx="5753100" cy="742950"/>
          <wp:effectExtent l="0" t="0" r="0" b="0"/>
          <wp:wrapTight wrapText="bothSides">
            <wp:wrapPolygon edited="0">
              <wp:start x="0" y="0"/>
              <wp:lineTo x="0" y="21046"/>
              <wp:lineTo x="21528" y="21046"/>
              <wp:lineTo x="21528" y="0"/>
              <wp:lineTo x="0" y="0"/>
            </wp:wrapPolygon>
          </wp:wrapTight>
          <wp:docPr id="2142612469"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53100" cy="742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3EF"/>
    <w:multiLevelType w:val="multilevel"/>
    <w:tmpl w:val="84CA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5369F"/>
    <w:multiLevelType w:val="multilevel"/>
    <w:tmpl w:val="8616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47A9D"/>
    <w:multiLevelType w:val="multilevel"/>
    <w:tmpl w:val="5E9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7DA1"/>
    <w:multiLevelType w:val="multilevel"/>
    <w:tmpl w:val="C0F0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C2DD3"/>
    <w:multiLevelType w:val="multilevel"/>
    <w:tmpl w:val="6770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43E0C"/>
    <w:multiLevelType w:val="hybridMultilevel"/>
    <w:tmpl w:val="00E2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1C3514"/>
    <w:multiLevelType w:val="multilevel"/>
    <w:tmpl w:val="EA5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12729"/>
    <w:multiLevelType w:val="multilevel"/>
    <w:tmpl w:val="3604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B2FD9"/>
    <w:multiLevelType w:val="multilevel"/>
    <w:tmpl w:val="922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752189">
    <w:abstractNumId w:val="6"/>
  </w:num>
  <w:num w:numId="2" w16cid:durableId="1316374275">
    <w:abstractNumId w:val="4"/>
  </w:num>
  <w:num w:numId="3" w16cid:durableId="1108237902">
    <w:abstractNumId w:val="7"/>
  </w:num>
  <w:num w:numId="4" w16cid:durableId="1924333743">
    <w:abstractNumId w:val="3"/>
  </w:num>
  <w:num w:numId="5" w16cid:durableId="799807692">
    <w:abstractNumId w:val="8"/>
  </w:num>
  <w:num w:numId="6" w16cid:durableId="228619772">
    <w:abstractNumId w:val="0"/>
  </w:num>
  <w:num w:numId="7" w16cid:durableId="2141072610">
    <w:abstractNumId w:val="1"/>
  </w:num>
  <w:num w:numId="8" w16cid:durableId="474837314">
    <w:abstractNumId w:val="2"/>
  </w:num>
  <w:num w:numId="9" w16cid:durableId="2070953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2"/>
    <w:rsid w:val="00014BEB"/>
    <w:rsid w:val="000D2109"/>
    <w:rsid w:val="000F62B7"/>
    <w:rsid w:val="00150E60"/>
    <w:rsid w:val="001810C0"/>
    <w:rsid w:val="001B168D"/>
    <w:rsid w:val="001B7A13"/>
    <w:rsid w:val="001D7EBD"/>
    <w:rsid w:val="001E0A04"/>
    <w:rsid w:val="002108C4"/>
    <w:rsid w:val="002123FC"/>
    <w:rsid w:val="002E49AA"/>
    <w:rsid w:val="003010C6"/>
    <w:rsid w:val="00307839"/>
    <w:rsid w:val="00317323"/>
    <w:rsid w:val="0039158E"/>
    <w:rsid w:val="003B13BE"/>
    <w:rsid w:val="003D3BF1"/>
    <w:rsid w:val="003E5FF0"/>
    <w:rsid w:val="00414685"/>
    <w:rsid w:val="00463406"/>
    <w:rsid w:val="004646F2"/>
    <w:rsid w:val="00485291"/>
    <w:rsid w:val="004A56E6"/>
    <w:rsid w:val="004A788F"/>
    <w:rsid w:val="004C5853"/>
    <w:rsid w:val="004D6C0F"/>
    <w:rsid w:val="00517108"/>
    <w:rsid w:val="00543BB7"/>
    <w:rsid w:val="00582A71"/>
    <w:rsid w:val="005B278D"/>
    <w:rsid w:val="005C0954"/>
    <w:rsid w:val="006A0A40"/>
    <w:rsid w:val="00774A73"/>
    <w:rsid w:val="007B5AC1"/>
    <w:rsid w:val="0085018F"/>
    <w:rsid w:val="008610E3"/>
    <w:rsid w:val="00883980"/>
    <w:rsid w:val="008A0AA9"/>
    <w:rsid w:val="008A2BCD"/>
    <w:rsid w:val="009755DA"/>
    <w:rsid w:val="009B0F05"/>
    <w:rsid w:val="009C3FF5"/>
    <w:rsid w:val="009C40B1"/>
    <w:rsid w:val="009F45C2"/>
    <w:rsid w:val="00A16735"/>
    <w:rsid w:val="00A26760"/>
    <w:rsid w:val="00A77140"/>
    <w:rsid w:val="00A778DC"/>
    <w:rsid w:val="00AB4AFD"/>
    <w:rsid w:val="00AE1552"/>
    <w:rsid w:val="00AF317F"/>
    <w:rsid w:val="00AF63F7"/>
    <w:rsid w:val="00B87E8D"/>
    <w:rsid w:val="00B94BB8"/>
    <w:rsid w:val="00BA49A3"/>
    <w:rsid w:val="00BB3BD2"/>
    <w:rsid w:val="00BC32CC"/>
    <w:rsid w:val="00C73255"/>
    <w:rsid w:val="00CC2C6B"/>
    <w:rsid w:val="00D03023"/>
    <w:rsid w:val="00D17464"/>
    <w:rsid w:val="00D17892"/>
    <w:rsid w:val="00D37C68"/>
    <w:rsid w:val="00D46B09"/>
    <w:rsid w:val="00D62D74"/>
    <w:rsid w:val="00DB7CE6"/>
    <w:rsid w:val="00DC05D9"/>
    <w:rsid w:val="00E05023"/>
    <w:rsid w:val="00E15C4F"/>
    <w:rsid w:val="00E832D0"/>
    <w:rsid w:val="00E97126"/>
    <w:rsid w:val="00EA1C69"/>
    <w:rsid w:val="00EC6915"/>
    <w:rsid w:val="00F020A2"/>
    <w:rsid w:val="00F11BAA"/>
    <w:rsid w:val="00F54BAD"/>
    <w:rsid w:val="00F712D2"/>
    <w:rsid w:val="00FA4771"/>
    <w:rsid w:val="00FC2DA8"/>
    <w:rsid w:val="00FD43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AB4B9"/>
  <w15:chartTrackingRefBased/>
  <w15:docId w15:val="{4CDFAE30-7870-4DC3-B949-6727DE7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B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B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B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B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B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B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B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B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B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B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B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B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B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B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B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BD2"/>
    <w:rPr>
      <w:rFonts w:eastAsiaTheme="majorEastAsia" w:cstheme="majorBidi"/>
      <w:color w:val="272727" w:themeColor="text1" w:themeTint="D8"/>
    </w:rPr>
  </w:style>
  <w:style w:type="paragraph" w:styleId="Titre">
    <w:name w:val="Title"/>
    <w:basedOn w:val="Normal"/>
    <w:next w:val="Normal"/>
    <w:link w:val="TitreCar"/>
    <w:uiPriority w:val="10"/>
    <w:qFormat/>
    <w:rsid w:val="00BB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B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B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B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BD2"/>
    <w:pPr>
      <w:spacing w:before="160"/>
      <w:jc w:val="center"/>
    </w:pPr>
    <w:rPr>
      <w:i/>
      <w:iCs/>
      <w:color w:val="404040" w:themeColor="text1" w:themeTint="BF"/>
    </w:rPr>
  </w:style>
  <w:style w:type="character" w:customStyle="1" w:styleId="CitationCar">
    <w:name w:val="Citation Car"/>
    <w:basedOn w:val="Policepardfaut"/>
    <w:link w:val="Citation"/>
    <w:uiPriority w:val="29"/>
    <w:rsid w:val="00BB3BD2"/>
    <w:rPr>
      <w:i/>
      <w:iCs/>
      <w:color w:val="404040" w:themeColor="text1" w:themeTint="BF"/>
    </w:rPr>
  </w:style>
  <w:style w:type="paragraph" w:styleId="Paragraphedeliste">
    <w:name w:val="List Paragraph"/>
    <w:basedOn w:val="Normal"/>
    <w:uiPriority w:val="34"/>
    <w:qFormat/>
    <w:rsid w:val="00BB3BD2"/>
    <w:pPr>
      <w:ind w:left="720"/>
      <w:contextualSpacing/>
    </w:pPr>
  </w:style>
  <w:style w:type="character" w:styleId="Accentuationintense">
    <w:name w:val="Intense Emphasis"/>
    <w:basedOn w:val="Policepardfaut"/>
    <w:uiPriority w:val="21"/>
    <w:qFormat/>
    <w:rsid w:val="00BB3BD2"/>
    <w:rPr>
      <w:i/>
      <w:iCs/>
      <w:color w:val="0F4761" w:themeColor="accent1" w:themeShade="BF"/>
    </w:rPr>
  </w:style>
  <w:style w:type="paragraph" w:styleId="Citationintense">
    <w:name w:val="Intense Quote"/>
    <w:basedOn w:val="Normal"/>
    <w:next w:val="Normal"/>
    <w:link w:val="CitationintenseCar"/>
    <w:uiPriority w:val="30"/>
    <w:qFormat/>
    <w:rsid w:val="00BB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BD2"/>
    <w:rPr>
      <w:i/>
      <w:iCs/>
      <w:color w:val="0F4761" w:themeColor="accent1" w:themeShade="BF"/>
    </w:rPr>
  </w:style>
  <w:style w:type="character" w:styleId="Rfrenceintense">
    <w:name w:val="Intense Reference"/>
    <w:basedOn w:val="Policepardfaut"/>
    <w:uiPriority w:val="32"/>
    <w:qFormat/>
    <w:rsid w:val="00BB3BD2"/>
    <w:rPr>
      <w:b/>
      <w:bCs/>
      <w:smallCaps/>
      <w:color w:val="0F4761" w:themeColor="accent1" w:themeShade="BF"/>
      <w:spacing w:val="5"/>
    </w:rPr>
  </w:style>
  <w:style w:type="paragraph" w:styleId="En-tte">
    <w:name w:val="header"/>
    <w:basedOn w:val="Normal"/>
    <w:link w:val="En-tteCar"/>
    <w:uiPriority w:val="99"/>
    <w:unhideWhenUsed/>
    <w:rsid w:val="00BC32CC"/>
    <w:pPr>
      <w:tabs>
        <w:tab w:val="center" w:pos="4536"/>
        <w:tab w:val="right" w:pos="9072"/>
      </w:tabs>
      <w:spacing w:after="0" w:line="240" w:lineRule="auto"/>
    </w:pPr>
  </w:style>
  <w:style w:type="character" w:customStyle="1" w:styleId="En-tteCar">
    <w:name w:val="En-tête Car"/>
    <w:basedOn w:val="Policepardfaut"/>
    <w:link w:val="En-tte"/>
    <w:uiPriority w:val="99"/>
    <w:rsid w:val="00BC32CC"/>
  </w:style>
  <w:style w:type="paragraph" w:styleId="Pieddepage">
    <w:name w:val="footer"/>
    <w:basedOn w:val="Normal"/>
    <w:link w:val="PieddepageCar"/>
    <w:uiPriority w:val="99"/>
    <w:unhideWhenUsed/>
    <w:rsid w:val="00BC32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2CC"/>
  </w:style>
  <w:style w:type="character" w:customStyle="1" w:styleId="fontstyle01">
    <w:name w:val="fontstyle01"/>
    <w:basedOn w:val="Policepardfaut"/>
    <w:rsid w:val="00FD431E"/>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FD431E"/>
    <w:rPr>
      <w:rFonts w:ascii="SymbolMT" w:hAnsi="SymbolMT" w:hint="default"/>
      <w:b w:val="0"/>
      <w:bCs w:val="0"/>
      <w:i w:val="0"/>
      <w:iCs w:val="0"/>
      <w:color w:val="000000"/>
      <w:sz w:val="20"/>
      <w:szCs w:val="20"/>
    </w:rPr>
  </w:style>
  <w:style w:type="paragraph" w:styleId="Rvision">
    <w:name w:val="Revision"/>
    <w:hidden/>
    <w:uiPriority w:val="99"/>
    <w:semiHidden/>
    <w:rsid w:val="00C73255"/>
    <w:pPr>
      <w:spacing w:after="0" w:line="240" w:lineRule="auto"/>
    </w:pPr>
  </w:style>
  <w:style w:type="character" w:styleId="Marquedecommentaire">
    <w:name w:val="annotation reference"/>
    <w:basedOn w:val="Policepardfaut"/>
    <w:uiPriority w:val="99"/>
    <w:semiHidden/>
    <w:unhideWhenUsed/>
    <w:rsid w:val="00C73255"/>
    <w:rPr>
      <w:sz w:val="16"/>
      <w:szCs w:val="16"/>
    </w:rPr>
  </w:style>
  <w:style w:type="paragraph" w:styleId="Commentaire">
    <w:name w:val="annotation text"/>
    <w:basedOn w:val="Normal"/>
    <w:link w:val="CommentaireCar"/>
    <w:uiPriority w:val="99"/>
    <w:unhideWhenUsed/>
    <w:rsid w:val="00C73255"/>
    <w:pPr>
      <w:spacing w:line="240" w:lineRule="auto"/>
    </w:pPr>
    <w:rPr>
      <w:sz w:val="20"/>
      <w:szCs w:val="20"/>
    </w:rPr>
  </w:style>
  <w:style w:type="character" w:customStyle="1" w:styleId="CommentaireCar">
    <w:name w:val="Commentaire Car"/>
    <w:basedOn w:val="Policepardfaut"/>
    <w:link w:val="Commentaire"/>
    <w:uiPriority w:val="99"/>
    <w:rsid w:val="00C73255"/>
    <w:rPr>
      <w:sz w:val="20"/>
      <w:szCs w:val="20"/>
    </w:rPr>
  </w:style>
  <w:style w:type="paragraph" w:styleId="Objetducommentaire">
    <w:name w:val="annotation subject"/>
    <w:basedOn w:val="Commentaire"/>
    <w:next w:val="Commentaire"/>
    <w:link w:val="ObjetducommentaireCar"/>
    <w:uiPriority w:val="99"/>
    <w:semiHidden/>
    <w:unhideWhenUsed/>
    <w:rsid w:val="00C73255"/>
    <w:rPr>
      <w:b/>
      <w:bCs/>
    </w:rPr>
  </w:style>
  <w:style w:type="character" w:customStyle="1" w:styleId="ObjetducommentaireCar">
    <w:name w:val="Objet du commentaire Car"/>
    <w:basedOn w:val="CommentaireCar"/>
    <w:link w:val="Objetducommentaire"/>
    <w:uiPriority w:val="99"/>
    <w:semiHidden/>
    <w:rsid w:val="00C73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repom@grepom.org" TargetMode="External"/><Relationship Id="rId1" Type="http://schemas.openxmlformats.org/officeDocument/2006/relationships/hyperlink" Target="http://www.grepo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1065</Words>
  <Characters>5862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ZERROUK</dc:creator>
  <cp:keywords/>
  <dc:description/>
  <cp:lastModifiedBy>Mariam ZERROUK</cp:lastModifiedBy>
  <cp:revision>89</cp:revision>
  <dcterms:created xsi:type="dcterms:W3CDTF">2026-01-06T14:28:00Z</dcterms:created>
  <dcterms:modified xsi:type="dcterms:W3CDTF">2026-01-23T10:43:00Z</dcterms:modified>
</cp:coreProperties>
</file>