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22D9" w14:textId="70C34EE1" w:rsidR="009D22A2" w:rsidRPr="00CF5685" w:rsidRDefault="009D22A2" w:rsidP="009D22A2">
      <w:pPr>
        <w:pStyle w:val="Heading1"/>
        <w:jc w:val="center"/>
      </w:pPr>
      <w:r>
        <w:t>Appel à candidatures pour la réalisation d'une évaluation externe</w:t>
      </w:r>
    </w:p>
    <w:p w14:paraId="355E3244" w14:textId="17364378" w:rsidR="00F002AB" w:rsidRPr="00BC6153" w:rsidRDefault="00F002AB" w:rsidP="00F002AB">
      <w:pPr>
        <w:pStyle w:val="Heading1"/>
        <w:jc w:val="center"/>
        <w:rPr>
          <w:rFonts w:ascii="Times New Roman" w:eastAsia="Times New Roman" w:hAnsi="Times New Roman" w:cs="Times New Roman"/>
          <w:b/>
          <w:bCs/>
          <w:sz w:val="27"/>
          <w:szCs w:val="27"/>
          <w:lang w:eastAsia="fr-FR"/>
        </w:rPr>
      </w:pPr>
      <w:r w:rsidRPr="00BC6153">
        <w:rPr>
          <w:rFonts w:eastAsia="Times New Roman"/>
          <w:b/>
          <w:bCs/>
          <w:lang w:eastAsia="fr-FR"/>
        </w:rPr>
        <w:t>Terme de référence</w:t>
      </w:r>
      <w:r>
        <w:rPr>
          <w:rFonts w:eastAsia="Times New Roman"/>
          <w:b/>
          <w:bCs/>
          <w:lang w:eastAsia="fr-FR"/>
        </w:rPr>
        <w:t>s</w:t>
      </w:r>
    </w:p>
    <w:p w14:paraId="79BB1E83" w14:textId="0B43EFEC" w:rsidR="00F002AB" w:rsidRPr="00C5217C" w:rsidRDefault="00F002AB" w:rsidP="00CF5685">
      <w:pPr>
        <w:pStyle w:val="Heading1"/>
        <w:spacing w:before="120"/>
        <w:jc w:val="center"/>
        <w:rPr>
          <w:rFonts w:eastAsia="Times New Roman"/>
          <w:sz w:val="28"/>
          <w:szCs w:val="28"/>
          <w:lang w:eastAsia="fr-FR"/>
        </w:rPr>
      </w:pPr>
      <w:r w:rsidRPr="00C5217C">
        <w:rPr>
          <w:rFonts w:eastAsia="Times New Roman"/>
          <w:sz w:val="28"/>
          <w:szCs w:val="28"/>
          <w:lang w:eastAsia="fr-FR"/>
        </w:rPr>
        <w:t>Projet “</w:t>
      </w:r>
      <w:r w:rsidRPr="00CF5685">
        <w:rPr>
          <w:rFonts w:eastAsia="Times New Roman"/>
          <w:i/>
          <w:iCs/>
          <w:sz w:val="28"/>
          <w:szCs w:val="28"/>
          <w:lang w:eastAsia="fr-FR"/>
        </w:rPr>
        <w:t xml:space="preserve">Growing the </w:t>
      </w:r>
      <w:proofErr w:type="spellStart"/>
      <w:r w:rsidRPr="00CF5685">
        <w:rPr>
          <w:rFonts w:eastAsia="Times New Roman"/>
          <w:i/>
          <w:iCs/>
          <w:sz w:val="28"/>
          <w:szCs w:val="28"/>
          <w:lang w:eastAsia="fr-FR"/>
        </w:rPr>
        <w:t>Youth</w:t>
      </w:r>
      <w:proofErr w:type="spellEnd"/>
      <w:r w:rsidRPr="00CF5685">
        <w:rPr>
          <w:rFonts w:eastAsia="Times New Roman"/>
          <w:i/>
          <w:iCs/>
          <w:sz w:val="28"/>
          <w:szCs w:val="28"/>
          <w:lang w:eastAsia="fr-FR"/>
        </w:rPr>
        <w:t xml:space="preserve"> </w:t>
      </w:r>
      <w:proofErr w:type="spellStart"/>
      <w:r w:rsidRPr="00CF5685">
        <w:rPr>
          <w:rFonts w:eastAsia="Times New Roman"/>
          <w:i/>
          <w:iCs/>
          <w:sz w:val="28"/>
          <w:szCs w:val="28"/>
          <w:lang w:eastAsia="fr-FR"/>
        </w:rPr>
        <w:t>Climate</w:t>
      </w:r>
      <w:proofErr w:type="spellEnd"/>
      <w:r w:rsidRPr="00CF5685">
        <w:rPr>
          <w:rFonts w:eastAsia="Times New Roman"/>
          <w:i/>
          <w:iCs/>
          <w:sz w:val="28"/>
          <w:szCs w:val="28"/>
          <w:lang w:eastAsia="fr-FR"/>
        </w:rPr>
        <w:t xml:space="preserve"> Innovation </w:t>
      </w:r>
      <w:proofErr w:type="spellStart"/>
      <w:r w:rsidRPr="00CF5685">
        <w:rPr>
          <w:rFonts w:eastAsia="Times New Roman"/>
          <w:i/>
          <w:iCs/>
          <w:sz w:val="28"/>
          <w:szCs w:val="28"/>
          <w:lang w:eastAsia="fr-FR"/>
        </w:rPr>
        <w:t>Incubator</w:t>
      </w:r>
      <w:proofErr w:type="spellEnd"/>
      <w:r w:rsidRPr="00C5217C">
        <w:rPr>
          <w:rFonts w:eastAsia="Times New Roman"/>
          <w:sz w:val="28"/>
          <w:szCs w:val="28"/>
          <w:lang w:eastAsia="fr-FR"/>
        </w:rPr>
        <w:t xml:space="preserve">” </w:t>
      </w:r>
    </w:p>
    <w:p w14:paraId="00CEBEB5" w14:textId="268B707F" w:rsidR="00C5217C" w:rsidRDefault="00F002AB" w:rsidP="00CF5685">
      <w:pPr>
        <w:pStyle w:val="Heading1"/>
        <w:spacing w:before="0"/>
        <w:jc w:val="center"/>
      </w:pPr>
      <w:r>
        <w:rPr>
          <w:rFonts w:eastAsia="Times New Roman"/>
          <w:sz w:val="24"/>
          <w:szCs w:val="24"/>
          <w:lang w:eastAsia="fr-FR"/>
        </w:rPr>
        <w:t>Septembre</w:t>
      </w:r>
      <w:r w:rsidRPr="00BC6153">
        <w:rPr>
          <w:rFonts w:eastAsia="Times New Roman"/>
          <w:sz w:val="24"/>
          <w:szCs w:val="24"/>
          <w:lang w:eastAsia="fr-FR"/>
        </w:rPr>
        <w:t xml:space="preserve"> 202</w:t>
      </w:r>
      <w:r>
        <w:rPr>
          <w:rFonts w:eastAsia="Times New Roman"/>
          <w:sz w:val="24"/>
          <w:szCs w:val="24"/>
          <w:lang w:eastAsia="fr-FR"/>
        </w:rPr>
        <w:t>3</w:t>
      </w:r>
      <w:r w:rsidRPr="00BC6153">
        <w:rPr>
          <w:rFonts w:eastAsia="Times New Roman"/>
          <w:sz w:val="24"/>
          <w:szCs w:val="24"/>
          <w:lang w:eastAsia="fr-FR"/>
        </w:rPr>
        <w:t xml:space="preserve"> - </w:t>
      </w:r>
      <w:r>
        <w:rPr>
          <w:rFonts w:eastAsia="Times New Roman"/>
          <w:sz w:val="24"/>
          <w:szCs w:val="24"/>
          <w:lang w:eastAsia="fr-FR"/>
        </w:rPr>
        <w:t>Décembre</w:t>
      </w:r>
      <w:r w:rsidRPr="00BC6153">
        <w:rPr>
          <w:rFonts w:eastAsia="Times New Roman"/>
          <w:sz w:val="24"/>
          <w:szCs w:val="24"/>
          <w:lang w:eastAsia="fr-FR"/>
        </w:rPr>
        <w:t xml:space="preserve"> 202</w:t>
      </w:r>
      <w:r>
        <w:rPr>
          <w:rFonts w:eastAsia="Times New Roman"/>
          <w:sz w:val="24"/>
          <w:szCs w:val="24"/>
          <w:lang w:eastAsia="fr-FR"/>
        </w:rPr>
        <w:t>5</w:t>
      </w:r>
    </w:p>
    <w:p w14:paraId="2B9AD9F4" w14:textId="77777777" w:rsidR="009D22A2" w:rsidRDefault="009D22A2" w:rsidP="00F002AB">
      <w:pPr>
        <w:spacing w:line="240" w:lineRule="auto"/>
        <w:jc w:val="both"/>
        <w:rPr>
          <w:rFonts w:ascii="Arial" w:hAnsi="Arial" w:cs="Arial"/>
          <w:color w:val="38312F"/>
          <w:shd w:val="clear" w:color="auto" w:fill="FFFFFF"/>
        </w:rPr>
      </w:pPr>
    </w:p>
    <w:p w14:paraId="32FCF438" w14:textId="41DC22B7" w:rsidR="00E74464" w:rsidRDefault="009D22A2" w:rsidP="00F002AB">
      <w:pPr>
        <w:spacing w:line="240" w:lineRule="auto"/>
        <w:jc w:val="both"/>
        <w:rPr>
          <w:rFonts w:cstheme="minorHAnsi"/>
          <w:color w:val="38312F"/>
          <w:shd w:val="clear" w:color="auto" w:fill="FFFFFF"/>
        </w:rPr>
      </w:pPr>
      <w:r w:rsidRPr="00CF5685">
        <w:rPr>
          <w:rFonts w:cstheme="minorHAnsi"/>
          <w:color w:val="38312F"/>
          <w:shd w:val="clear" w:color="auto" w:fill="FFFFFF"/>
        </w:rPr>
        <w:t xml:space="preserve">La Near East </w:t>
      </w:r>
      <w:proofErr w:type="spellStart"/>
      <w:r w:rsidRPr="00CF5685">
        <w:rPr>
          <w:rFonts w:cstheme="minorHAnsi"/>
          <w:color w:val="38312F"/>
          <w:shd w:val="clear" w:color="auto" w:fill="FFFFFF"/>
        </w:rPr>
        <w:t>Foundation</w:t>
      </w:r>
      <w:proofErr w:type="spellEnd"/>
      <w:r w:rsidRPr="00CF5685">
        <w:rPr>
          <w:rFonts w:cstheme="minorHAnsi"/>
          <w:color w:val="38312F"/>
          <w:shd w:val="clear" w:color="auto" w:fill="FFFFFF"/>
        </w:rPr>
        <w:t xml:space="preserve"> (NEF) est une ONG internationale basée aux États-Unis, à Londres et à Bruxelles. Depuis 100 ans, la NEF œuvre à la construction de communautés plus durables, plus prospères et plus inclusives dans neuf pays au Moyen-Orient et en Afrique. Nos programmes s'organisent autour des thématiques du développement économique inclusif ; développement résilient au changement climatique ; et stabilisation et consolidation de la paix.</w:t>
      </w:r>
    </w:p>
    <w:p w14:paraId="3850A6E6" w14:textId="1BE53FC7" w:rsidR="009D22A2" w:rsidRPr="00CF5685" w:rsidRDefault="009D22A2" w:rsidP="00F002AB">
      <w:pPr>
        <w:spacing w:line="240" w:lineRule="auto"/>
        <w:jc w:val="both"/>
        <w:rPr>
          <w:rFonts w:cstheme="minorHAnsi"/>
          <w:lang w:val="fr-MA"/>
        </w:rPr>
      </w:pPr>
      <w:r w:rsidRPr="00CF5685">
        <w:rPr>
          <w:rFonts w:cstheme="minorHAnsi"/>
          <w:color w:val="38312F"/>
          <w:shd w:val="clear" w:color="auto" w:fill="FFFFFF"/>
        </w:rPr>
        <w:t xml:space="preserve">La NEF Maroc recherche des candidats qualifiés pour le réaliser l’évaluation finale du projet GYII, en suivant les instructions des TDRs ci-dessous. </w:t>
      </w:r>
    </w:p>
    <w:p w14:paraId="50BA1589" w14:textId="4E677BA6" w:rsidR="00F002AB" w:rsidRPr="00F002AB" w:rsidRDefault="000B100D" w:rsidP="00CF5685">
      <w:pPr>
        <w:pStyle w:val="Heading2"/>
        <w:numPr>
          <w:ilvl w:val="0"/>
          <w:numId w:val="19"/>
        </w:numPr>
        <w:spacing w:after="120"/>
      </w:pPr>
      <w:r w:rsidRPr="00F002AB">
        <w:rPr>
          <w:rStyle w:val="Strong"/>
          <w:b w:val="0"/>
          <w:bCs w:val="0"/>
        </w:rPr>
        <w:t>Contexte du projet</w:t>
      </w:r>
    </w:p>
    <w:p w14:paraId="0DD9029D" w14:textId="7A770921" w:rsidR="000B100D" w:rsidRPr="00F002AB" w:rsidRDefault="000B100D" w:rsidP="00F002AB">
      <w:pPr>
        <w:spacing w:line="240" w:lineRule="auto"/>
        <w:jc w:val="both"/>
      </w:pPr>
      <w:r w:rsidRPr="00F002AB">
        <w:t xml:space="preserve">Le </w:t>
      </w:r>
      <w:r w:rsidRPr="00F002AB">
        <w:rPr>
          <w:rStyle w:val="Strong"/>
          <w:b w:val="0"/>
          <w:bCs w:val="0"/>
        </w:rPr>
        <w:t>projet « Growing</w:t>
      </w:r>
      <w:r w:rsidR="006A1211" w:rsidRPr="00F002AB">
        <w:rPr>
          <w:rStyle w:val="Strong"/>
          <w:b w:val="0"/>
          <w:bCs w:val="0"/>
        </w:rPr>
        <w:t xml:space="preserve"> the</w:t>
      </w:r>
      <w:r w:rsidRPr="00F002AB">
        <w:rPr>
          <w:rStyle w:val="Strong"/>
          <w:b w:val="0"/>
          <w:bCs w:val="0"/>
        </w:rPr>
        <w:t xml:space="preserve"> </w:t>
      </w:r>
      <w:proofErr w:type="spellStart"/>
      <w:r w:rsidRPr="00F002AB">
        <w:rPr>
          <w:rStyle w:val="Strong"/>
          <w:b w:val="0"/>
          <w:bCs w:val="0"/>
        </w:rPr>
        <w:t>Youth</w:t>
      </w:r>
      <w:proofErr w:type="spellEnd"/>
      <w:r w:rsidRPr="00F002AB">
        <w:rPr>
          <w:rStyle w:val="Strong"/>
          <w:b w:val="0"/>
          <w:bCs w:val="0"/>
        </w:rPr>
        <w:t xml:space="preserve"> </w:t>
      </w:r>
      <w:proofErr w:type="spellStart"/>
      <w:r w:rsidRPr="00F002AB">
        <w:rPr>
          <w:rStyle w:val="Strong"/>
          <w:b w:val="0"/>
          <w:bCs w:val="0"/>
        </w:rPr>
        <w:t>Climate</w:t>
      </w:r>
      <w:proofErr w:type="spellEnd"/>
      <w:r w:rsidRPr="00F002AB">
        <w:rPr>
          <w:rStyle w:val="Strong"/>
          <w:b w:val="0"/>
          <w:bCs w:val="0"/>
        </w:rPr>
        <w:t xml:space="preserve"> Innovation </w:t>
      </w:r>
      <w:proofErr w:type="spellStart"/>
      <w:r w:rsidRPr="00F002AB">
        <w:rPr>
          <w:rStyle w:val="Strong"/>
          <w:b w:val="0"/>
          <w:bCs w:val="0"/>
        </w:rPr>
        <w:t>Incubator</w:t>
      </w:r>
      <w:proofErr w:type="spellEnd"/>
      <w:r w:rsidRPr="00F002AB">
        <w:rPr>
          <w:rStyle w:val="Strong"/>
          <w:b w:val="0"/>
          <w:bCs w:val="0"/>
        </w:rPr>
        <w:t xml:space="preserve"> (GYCII) », porté par la </w:t>
      </w:r>
      <w:r w:rsidR="00E74464">
        <w:rPr>
          <w:rStyle w:val="Strong"/>
          <w:b w:val="0"/>
          <w:bCs w:val="0"/>
        </w:rPr>
        <w:t xml:space="preserve">Near East </w:t>
      </w:r>
      <w:proofErr w:type="spellStart"/>
      <w:r w:rsidR="00E74464">
        <w:rPr>
          <w:rStyle w:val="Strong"/>
          <w:b w:val="0"/>
          <w:bCs w:val="0"/>
        </w:rPr>
        <w:t>Foundation</w:t>
      </w:r>
      <w:proofErr w:type="spellEnd"/>
      <w:r w:rsidR="00E74464">
        <w:rPr>
          <w:rStyle w:val="Strong"/>
          <w:b w:val="0"/>
          <w:bCs w:val="0"/>
        </w:rPr>
        <w:t xml:space="preserve"> (</w:t>
      </w:r>
      <w:r w:rsidRPr="00F002AB">
        <w:rPr>
          <w:rStyle w:val="Strong"/>
          <w:b w:val="0"/>
          <w:bCs w:val="0"/>
        </w:rPr>
        <w:t>NEF</w:t>
      </w:r>
      <w:r w:rsidR="00E74464">
        <w:rPr>
          <w:rStyle w:val="Strong"/>
          <w:b w:val="0"/>
          <w:bCs w:val="0"/>
        </w:rPr>
        <w:t>)</w:t>
      </w:r>
      <w:r w:rsidRPr="00F002AB">
        <w:rPr>
          <w:rStyle w:val="Strong"/>
          <w:b w:val="0"/>
          <w:bCs w:val="0"/>
        </w:rPr>
        <w:t xml:space="preserve"> en partenariat avec </w:t>
      </w:r>
      <w:proofErr w:type="spellStart"/>
      <w:r w:rsidR="00E74464">
        <w:rPr>
          <w:rStyle w:val="Strong"/>
          <w:b w:val="0"/>
          <w:bCs w:val="0"/>
        </w:rPr>
        <w:t>Emerging</w:t>
      </w:r>
      <w:proofErr w:type="spellEnd"/>
      <w:r w:rsidR="00E74464">
        <w:rPr>
          <w:rStyle w:val="Strong"/>
          <w:b w:val="0"/>
          <w:bCs w:val="0"/>
        </w:rPr>
        <w:t xml:space="preserve"> Business </w:t>
      </w:r>
      <w:proofErr w:type="spellStart"/>
      <w:r w:rsidR="00E74464">
        <w:rPr>
          <w:rStyle w:val="Strong"/>
          <w:b w:val="0"/>
          <w:bCs w:val="0"/>
        </w:rPr>
        <w:t>Factory</w:t>
      </w:r>
      <w:proofErr w:type="spellEnd"/>
      <w:r w:rsidR="00E74464">
        <w:rPr>
          <w:rStyle w:val="Strong"/>
          <w:b w:val="0"/>
          <w:bCs w:val="0"/>
        </w:rPr>
        <w:t xml:space="preserve"> (</w:t>
      </w:r>
      <w:r w:rsidRPr="00F002AB">
        <w:rPr>
          <w:rStyle w:val="Strong"/>
          <w:b w:val="0"/>
          <w:bCs w:val="0"/>
        </w:rPr>
        <w:t>EBF</w:t>
      </w:r>
      <w:r w:rsidR="00E74464">
        <w:rPr>
          <w:rStyle w:val="Strong"/>
          <w:b w:val="0"/>
          <w:bCs w:val="0"/>
        </w:rPr>
        <w:t>)</w:t>
      </w:r>
      <w:r w:rsidRPr="00F002AB">
        <w:rPr>
          <w:rStyle w:val="Strong"/>
          <w:b w:val="0"/>
          <w:bCs w:val="0"/>
        </w:rPr>
        <w:t xml:space="preserve">, </w:t>
      </w:r>
      <w:r w:rsidRPr="00F002AB">
        <w:t xml:space="preserve">vise à mobiliser la créativité et le leadership des jeunes entrepreneurs marocains pour répondre à deux défis majeurs du pays : </w:t>
      </w:r>
      <w:r w:rsidRPr="00F002AB">
        <w:rPr>
          <w:rStyle w:val="Strong"/>
          <w:b w:val="0"/>
          <w:bCs w:val="0"/>
        </w:rPr>
        <w:t>la crise climatique</w:t>
      </w:r>
      <w:r w:rsidRPr="00F002AB">
        <w:t xml:space="preserve"> et </w:t>
      </w:r>
      <w:r w:rsidRPr="00F002AB">
        <w:rPr>
          <w:rStyle w:val="Strong"/>
          <w:b w:val="0"/>
          <w:bCs w:val="0"/>
        </w:rPr>
        <w:t>le chômage des jeunes</w:t>
      </w:r>
      <w:r w:rsidRPr="00F002AB">
        <w:t>.</w:t>
      </w:r>
    </w:p>
    <w:p w14:paraId="5945EC58" w14:textId="77777777" w:rsidR="000B100D" w:rsidRPr="00F002AB" w:rsidRDefault="000B100D" w:rsidP="00F002AB">
      <w:pPr>
        <w:spacing w:line="240" w:lineRule="auto"/>
        <w:jc w:val="both"/>
      </w:pPr>
      <w:r w:rsidRPr="00F002AB">
        <w:t>Le changement climatique accentue au Maroc la pression sur les ressources en eau, la désertification, la perte de biodiversité et la baisse de la productivité agricole. Ces phénomènes menacent un secteur clé de l’économie et de la sécurité alimentaire du pays. Parallèlement, le Maroc fait face à des défis environnementaux liés à la gestion des déchets, à la pollution et à la surexploitation des ressources naturelles.</w:t>
      </w:r>
    </w:p>
    <w:p w14:paraId="6A88C55B" w14:textId="77777777" w:rsidR="000B100D" w:rsidRPr="00F002AB" w:rsidRDefault="000B100D" w:rsidP="00F002AB">
      <w:pPr>
        <w:spacing w:line="240" w:lineRule="auto"/>
        <w:jc w:val="both"/>
      </w:pPr>
      <w:r w:rsidRPr="00F002AB">
        <w:t xml:space="preserve">Sur le plan socio-économique, le taux de chômage demeure élevé — près de </w:t>
      </w:r>
      <w:r w:rsidRPr="00F002AB">
        <w:rPr>
          <w:rStyle w:val="Strong"/>
          <w:b w:val="0"/>
          <w:bCs w:val="0"/>
        </w:rPr>
        <w:t>13 % de la population</w:t>
      </w:r>
      <w:r w:rsidRPr="00F002AB">
        <w:t xml:space="preserve">, avec des taux particulièrement importants chez les </w:t>
      </w:r>
      <w:r w:rsidRPr="00F002AB">
        <w:rPr>
          <w:rStyle w:val="Strong"/>
          <w:b w:val="0"/>
          <w:bCs w:val="0"/>
        </w:rPr>
        <w:t>femmes (17 %)</w:t>
      </w:r>
      <w:r w:rsidRPr="00F002AB">
        <w:t xml:space="preserve">, les </w:t>
      </w:r>
      <w:r w:rsidRPr="00F002AB">
        <w:rPr>
          <w:rStyle w:val="Strong"/>
          <w:b w:val="0"/>
          <w:bCs w:val="0"/>
        </w:rPr>
        <w:t>jeunes (35 %)</w:t>
      </w:r>
      <w:r w:rsidRPr="00F002AB">
        <w:t xml:space="preserve"> et les </w:t>
      </w:r>
      <w:r w:rsidRPr="00F002AB">
        <w:rPr>
          <w:rStyle w:val="Strong"/>
          <w:b w:val="0"/>
          <w:bCs w:val="0"/>
        </w:rPr>
        <w:t>diplômés (25 %)</w:t>
      </w:r>
      <w:r w:rsidRPr="00F002AB">
        <w:t>. Plus de la moitié de la population a moins de 29 ans, et l’exclusion économique des jeunes alimente des dynamiques de migration et de désenchantement.</w:t>
      </w:r>
    </w:p>
    <w:p w14:paraId="1C0828A6" w14:textId="77777777" w:rsidR="000B100D" w:rsidRPr="00F002AB" w:rsidRDefault="000B100D" w:rsidP="00F002AB">
      <w:pPr>
        <w:spacing w:line="240" w:lineRule="auto"/>
        <w:jc w:val="both"/>
      </w:pPr>
      <w:r w:rsidRPr="00F002AB">
        <w:t xml:space="preserve">Dans ce contexte, </w:t>
      </w:r>
      <w:r w:rsidRPr="00F002AB">
        <w:rPr>
          <w:rStyle w:val="Strong"/>
          <w:b w:val="0"/>
          <w:bCs w:val="0"/>
        </w:rPr>
        <w:t>l’entrepreneuriat vert</w:t>
      </w:r>
      <w:r w:rsidRPr="00F002AB">
        <w:t xml:space="preserve"> constitue un levier stratégique pour allier </w:t>
      </w:r>
      <w:r w:rsidRPr="00F002AB">
        <w:rPr>
          <w:rStyle w:val="Strong"/>
          <w:b w:val="0"/>
          <w:bCs w:val="0"/>
        </w:rPr>
        <w:t>création d’emplois</w:t>
      </w:r>
      <w:r w:rsidRPr="00F002AB">
        <w:t xml:space="preserve">, </w:t>
      </w:r>
      <w:r w:rsidRPr="00F002AB">
        <w:rPr>
          <w:rStyle w:val="Strong"/>
          <w:b w:val="0"/>
          <w:bCs w:val="0"/>
        </w:rPr>
        <w:t>innovation</w:t>
      </w:r>
      <w:r w:rsidRPr="00F002AB">
        <w:t xml:space="preserve"> et </w:t>
      </w:r>
      <w:r w:rsidRPr="00F002AB">
        <w:rPr>
          <w:rStyle w:val="Strong"/>
          <w:b w:val="0"/>
          <w:bCs w:val="0"/>
        </w:rPr>
        <w:t>transition écologique</w:t>
      </w:r>
      <w:r w:rsidRPr="00F002AB">
        <w:t>. Toutefois, malgré une culture entrepreneuriale dynamique, les initiatives centrées sur la durabilité restent rares. Les jeunes entrepreneurs, en particulier les femmes, manquent d’appui technique, financier et institutionnel pour transformer leurs idées en entreprises viables. Les structures d’accompagnement existantes manquent souvent de compétences pour soutenir des projets à fort impact environnemental.</w:t>
      </w:r>
    </w:p>
    <w:p w14:paraId="000C3410" w14:textId="4697CB93" w:rsidR="000B100D" w:rsidRPr="00F002AB" w:rsidRDefault="006A1211" w:rsidP="00F002AB">
      <w:pPr>
        <w:spacing w:line="240" w:lineRule="auto"/>
        <w:jc w:val="both"/>
      </w:pPr>
      <w:r w:rsidRPr="00F002AB">
        <w:t>GYCII</w:t>
      </w:r>
      <w:r w:rsidR="000B100D" w:rsidRPr="00F002AB">
        <w:t xml:space="preserve"> se distingue comme </w:t>
      </w:r>
      <w:r w:rsidR="000B100D" w:rsidRPr="00F002AB">
        <w:rPr>
          <w:rStyle w:val="Strong"/>
          <w:b w:val="0"/>
          <w:bCs w:val="0"/>
        </w:rPr>
        <w:t xml:space="preserve">le premier </w:t>
      </w:r>
      <w:r w:rsidRPr="00F002AB">
        <w:rPr>
          <w:rStyle w:val="Strong"/>
          <w:b w:val="0"/>
          <w:bCs w:val="0"/>
        </w:rPr>
        <w:t>projet d’incubation</w:t>
      </w:r>
      <w:r w:rsidR="000B100D" w:rsidRPr="00F002AB">
        <w:rPr>
          <w:rStyle w:val="Strong"/>
          <w:b w:val="0"/>
          <w:bCs w:val="0"/>
        </w:rPr>
        <w:t xml:space="preserve"> au Maroc</w:t>
      </w:r>
      <w:r w:rsidR="000B100D" w:rsidRPr="00F002AB">
        <w:t xml:space="preserve"> à aborder conjointement les enjeux du </w:t>
      </w:r>
      <w:r w:rsidR="000B100D" w:rsidRPr="00F002AB">
        <w:rPr>
          <w:rStyle w:val="Strong"/>
          <w:b w:val="0"/>
          <w:bCs w:val="0"/>
        </w:rPr>
        <w:t>changement climatique</w:t>
      </w:r>
      <w:r w:rsidR="000B100D" w:rsidRPr="00F002AB">
        <w:t xml:space="preserve"> et de </w:t>
      </w:r>
      <w:r w:rsidR="000B100D" w:rsidRPr="00F002AB">
        <w:rPr>
          <w:rStyle w:val="Strong"/>
          <w:b w:val="0"/>
          <w:bCs w:val="0"/>
        </w:rPr>
        <w:t>l’emploi des jeunes</w:t>
      </w:r>
      <w:r w:rsidR="000B100D" w:rsidRPr="00F002AB">
        <w:t xml:space="preserve"> à travers le prisme de l’entrepreneuriat vert</w:t>
      </w:r>
      <w:r w:rsidRPr="00F002AB">
        <w:t xml:space="preserve">, en se focalisant cependant sur les régions de </w:t>
      </w:r>
      <w:r w:rsidRPr="00F002AB">
        <w:rPr>
          <w:b/>
          <w:bCs/>
        </w:rPr>
        <w:t xml:space="preserve">Marrakech-Safi, Draa-Tafilalet, Beni </w:t>
      </w:r>
      <w:r w:rsidR="00E74464">
        <w:rPr>
          <w:b/>
          <w:bCs/>
        </w:rPr>
        <w:t>M</w:t>
      </w:r>
      <w:r w:rsidRPr="00F002AB">
        <w:rPr>
          <w:b/>
          <w:bCs/>
        </w:rPr>
        <w:t>ellal</w:t>
      </w:r>
      <w:r w:rsidR="00E74464">
        <w:rPr>
          <w:b/>
          <w:bCs/>
        </w:rPr>
        <w:t>-</w:t>
      </w:r>
      <w:proofErr w:type="spellStart"/>
      <w:r w:rsidRPr="00F002AB">
        <w:rPr>
          <w:b/>
          <w:bCs/>
        </w:rPr>
        <w:t>Khenifra</w:t>
      </w:r>
      <w:proofErr w:type="spellEnd"/>
      <w:r w:rsidRPr="00F002AB">
        <w:rPr>
          <w:b/>
          <w:bCs/>
        </w:rPr>
        <w:t>, et Souss-Massa</w:t>
      </w:r>
      <w:r w:rsidRPr="00F002AB">
        <w:t>.</w:t>
      </w:r>
    </w:p>
    <w:p w14:paraId="6F35EF6D" w14:textId="4869ACFB" w:rsidR="000B100D" w:rsidRPr="00F002AB" w:rsidRDefault="000B100D" w:rsidP="00F002AB">
      <w:pPr>
        <w:spacing w:line="240" w:lineRule="auto"/>
        <w:jc w:val="both"/>
      </w:pPr>
      <w:r w:rsidRPr="00F002AB">
        <w:t xml:space="preserve">S’appuyant sur l’expérience du projet pilote </w:t>
      </w:r>
      <w:proofErr w:type="spellStart"/>
      <w:r w:rsidR="006A1211" w:rsidRPr="009B34F2">
        <w:rPr>
          <w:rStyle w:val="Strong"/>
          <w:b w:val="0"/>
          <w:bCs w:val="0"/>
          <w:i/>
          <w:iCs/>
        </w:rPr>
        <w:t>Youth</w:t>
      </w:r>
      <w:proofErr w:type="spellEnd"/>
      <w:r w:rsidR="006A1211" w:rsidRPr="009B34F2">
        <w:rPr>
          <w:rStyle w:val="Strong"/>
          <w:b w:val="0"/>
          <w:bCs w:val="0"/>
          <w:i/>
          <w:iCs/>
        </w:rPr>
        <w:t xml:space="preserve"> </w:t>
      </w:r>
      <w:proofErr w:type="spellStart"/>
      <w:r w:rsidR="006A1211" w:rsidRPr="009B34F2">
        <w:rPr>
          <w:rStyle w:val="Strong"/>
          <w:b w:val="0"/>
          <w:bCs w:val="0"/>
          <w:i/>
          <w:iCs/>
        </w:rPr>
        <w:t>Climate</w:t>
      </w:r>
      <w:proofErr w:type="spellEnd"/>
      <w:r w:rsidR="006A1211" w:rsidRPr="009B34F2">
        <w:rPr>
          <w:rStyle w:val="Strong"/>
          <w:b w:val="0"/>
          <w:bCs w:val="0"/>
          <w:i/>
          <w:iCs/>
        </w:rPr>
        <w:t xml:space="preserve"> Innovation </w:t>
      </w:r>
      <w:proofErr w:type="spellStart"/>
      <w:r w:rsidR="006A1211" w:rsidRPr="009B34F2">
        <w:rPr>
          <w:rStyle w:val="Strong"/>
          <w:b w:val="0"/>
          <w:bCs w:val="0"/>
          <w:i/>
          <w:iCs/>
        </w:rPr>
        <w:t>Incubator</w:t>
      </w:r>
      <w:proofErr w:type="spellEnd"/>
      <w:r w:rsidRPr="00F002AB">
        <w:rPr>
          <w:rStyle w:val="Strong"/>
          <w:b w:val="0"/>
          <w:bCs w:val="0"/>
        </w:rPr>
        <w:t xml:space="preserve"> (</w:t>
      </w:r>
      <w:r w:rsidR="00E74464">
        <w:rPr>
          <w:rStyle w:val="Strong"/>
          <w:b w:val="0"/>
          <w:bCs w:val="0"/>
        </w:rPr>
        <w:t xml:space="preserve">phase pilote, </w:t>
      </w:r>
      <w:r w:rsidRPr="00F002AB">
        <w:rPr>
          <w:rStyle w:val="Strong"/>
          <w:b w:val="0"/>
          <w:bCs w:val="0"/>
        </w:rPr>
        <w:t>2022–2023)</w:t>
      </w:r>
      <w:r w:rsidRPr="00F002AB">
        <w:t>, qui a accompagné</w:t>
      </w:r>
      <w:r w:rsidR="006A1211" w:rsidRPr="00F002AB">
        <w:t xml:space="preserve"> et financé</w:t>
      </w:r>
      <w:r w:rsidRPr="00F002AB">
        <w:t xml:space="preserve"> </w:t>
      </w:r>
      <w:r w:rsidRPr="00F002AB">
        <w:rPr>
          <w:rStyle w:val="Strong"/>
          <w:b w:val="0"/>
          <w:bCs w:val="0"/>
        </w:rPr>
        <w:t>32 start-ups</w:t>
      </w:r>
      <w:r w:rsidRPr="00F002AB">
        <w:t xml:space="preserve">, le projet </w:t>
      </w:r>
      <w:r w:rsidR="009B34F2">
        <w:t>GYCII</w:t>
      </w:r>
      <w:r w:rsidRPr="00F002AB">
        <w:t xml:space="preserve"> </w:t>
      </w:r>
      <w:r w:rsidR="00E74464">
        <w:t xml:space="preserve">a </w:t>
      </w:r>
      <w:r w:rsidRPr="00F002AB">
        <w:t>consolid</w:t>
      </w:r>
      <w:r w:rsidR="00E74464">
        <w:t>é</w:t>
      </w:r>
      <w:r w:rsidRPr="00F002AB">
        <w:t xml:space="preserve"> et élargit cette approche en intégrant trois axes complémentaires :</w:t>
      </w:r>
    </w:p>
    <w:p w14:paraId="032F097C" w14:textId="016D1529" w:rsidR="000B100D" w:rsidRPr="00F002AB" w:rsidRDefault="000B100D" w:rsidP="00C5217C">
      <w:pPr>
        <w:pStyle w:val="ListParagraph"/>
        <w:numPr>
          <w:ilvl w:val="0"/>
          <w:numId w:val="20"/>
        </w:numPr>
        <w:spacing w:line="240" w:lineRule="auto"/>
        <w:jc w:val="both"/>
      </w:pPr>
      <w:r w:rsidRPr="00C5217C">
        <w:rPr>
          <w:rStyle w:val="Strong"/>
          <w:b w:val="0"/>
          <w:bCs w:val="0"/>
        </w:rPr>
        <w:t xml:space="preserve">Convergence et </w:t>
      </w:r>
      <w:proofErr w:type="spellStart"/>
      <w:r w:rsidRPr="00C5217C">
        <w:rPr>
          <w:rStyle w:val="Strong"/>
          <w:b w:val="0"/>
          <w:bCs w:val="0"/>
        </w:rPr>
        <w:t>co-création</w:t>
      </w:r>
      <w:proofErr w:type="spellEnd"/>
      <w:r w:rsidR="006A1211" w:rsidRPr="00F002AB">
        <w:t> :</w:t>
      </w:r>
      <w:r w:rsidRPr="00F002AB">
        <w:t xml:space="preserve"> réunir </w:t>
      </w:r>
      <w:r w:rsidR="00E74464">
        <w:t xml:space="preserve">des </w:t>
      </w:r>
      <w:r w:rsidRPr="00F002AB">
        <w:t>experts, institutions et entrepreneurs pour identifier les défis climatiques locaux et concevoir des solutions innovantes adaptées aux réalités régionales ;</w:t>
      </w:r>
    </w:p>
    <w:p w14:paraId="3E8B95EA" w14:textId="77777777" w:rsidR="000B100D" w:rsidRPr="00F002AB" w:rsidRDefault="000B100D" w:rsidP="00C5217C">
      <w:pPr>
        <w:pStyle w:val="ListParagraph"/>
        <w:numPr>
          <w:ilvl w:val="0"/>
          <w:numId w:val="20"/>
        </w:numPr>
        <w:spacing w:line="240" w:lineRule="auto"/>
        <w:jc w:val="both"/>
      </w:pPr>
      <w:r w:rsidRPr="00C5217C">
        <w:rPr>
          <w:rStyle w:val="Strong"/>
          <w:b w:val="0"/>
          <w:bCs w:val="0"/>
        </w:rPr>
        <w:t>Renforcement des capacités entrepreneuriales</w:t>
      </w:r>
      <w:r w:rsidR="006A1211" w:rsidRPr="00F002AB">
        <w:t> :</w:t>
      </w:r>
      <w:r w:rsidRPr="00F002AB">
        <w:t xml:space="preserve"> offrir des formations, un accompagnement individualisé, un mentorat et des appuis financiers pour transformer les idées en entreprises durables et compétitives ;</w:t>
      </w:r>
    </w:p>
    <w:p w14:paraId="0C0310DF" w14:textId="77777777" w:rsidR="000B100D" w:rsidRPr="00F002AB" w:rsidRDefault="000B100D" w:rsidP="00C5217C">
      <w:pPr>
        <w:pStyle w:val="ListParagraph"/>
        <w:numPr>
          <w:ilvl w:val="0"/>
          <w:numId w:val="20"/>
        </w:numPr>
        <w:spacing w:line="240" w:lineRule="auto"/>
        <w:jc w:val="both"/>
      </w:pPr>
      <w:r w:rsidRPr="00C5217C">
        <w:rPr>
          <w:rStyle w:val="Strong"/>
          <w:b w:val="0"/>
          <w:bCs w:val="0"/>
        </w:rPr>
        <w:t>Animation de l’écosystème</w:t>
      </w:r>
      <w:r w:rsidR="006A1211" w:rsidRPr="00F002AB">
        <w:t> :</w:t>
      </w:r>
      <w:r w:rsidRPr="00F002AB">
        <w:t xml:space="preserve"> favoriser la collaboration entre acteurs publics, privés et associatifs afin de renforcer l’écosystème national de l’entrepreneuriat vert.</w:t>
      </w:r>
    </w:p>
    <w:p w14:paraId="6CAB03D7" w14:textId="77777777" w:rsidR="000B100D" w:rsidRPr="00F002AB" w:rsidRDefault="000B100D" w:rsidP="00C5217C">
      <w:pPr>
        <w:spacing w:line="240" w:lineRule="auto"/>
        <w:jc w:val="both"/>
      </w:pPr>
      <w:r w:rsidRPr="00F002AB">
        <w:t xml:space="preserve">Le projet adopte </w:t>
      </w:r>
      <w:r w:rsidR="006A1211" w:rsidRPr="00F002AB">
        <w:rPr>
          <w:rStyle w:val="Strong"/>
          <w:b w:val="0"/>
          <w:bCs w:val="0"/>
        </w:rPr>
        <w:t>différents modèles</w:t>
      </w:r>
      <w:r w:rsidRPr="00F002AB">
        <w:t xml:space="preserve"> pour élargir l’accès aux services d’incubation et mieux répondre aux contraintes géographiques et sociales. Il met également l’accent sur </w:t>
      </w:r>
      <w:r w:rsidRPr="00F002AB">
        <w:rPr>
          <w:rStyle w:val="Strong"/>
          <w:b w:val="0"/>
          <w:bCs w:val="0"/>
        </w:rPr>
        <w:t>l’inclusion des femmes et des jeunes</w:t>
      </w:r>
      <w:r w:rsidRPr="00F002AB">
        <w:t xml:space="preserve">, et sur la </w:t>
      </w:r>
      <w:r w:rsidRPr="00F002AB">
        <w:rPr>
          <w:rStyle w:val="Strong"/>
          <w:b w:val="0"/>
          <w:bCs w:val="0"/>
        </w:rPr>
        <w:t xml:space="preserve">création d’emplois </w:t>
      </w:r>
      <w:r w:rsidRPr="00F002AB">
        <w:t>dans des secteurs tels que l’agriculture durable, la gestion de l’eau, le recyclage, l’énergie propre ou la valorisation des déchets.</w:t>
      </w:r>
    </w:p>
    <w:p w14:paraId="7EC2F8EE" w14:textId="2B1574F8" w:rsidR="00C5217C" w:rsidRPr="00F002AB" w:rsidRDefault="000B100D" w:rsidP="00C5217C">
      <w:pPr>
        <w:spacing w:line="240" w:lineRule="auto"/>
        <w:jc w:val="both"/>
        <w:rPr>
          <w:rStyle w:val="Strong"/>
          <w:b w:val="0"/>
          <w:bCs w:val="0"/>
        </w:rPr>
      </w:pPr>
      <w:r w:rsidRPr="00F002AB">
        <w:lastRenderedPageBreak/>
        <w:t xml:space="preserve">En capitalisant sur les acquis du projet pilote, le projet </w:t>
      </w:r>
      <w:r w:rsidR="006A1211" w:rsidRPr="00F002AB">
        <w:t>GYCII</w:t>
      </w:r>
      <w:r w:rsidRPr="00F002AB">
        <w:t xml:space="preserve"> </w:t>
      </w:r>
      <w:r w:rsidR="00E74464">
        <w:t>a pour but</w:t>
      </w:r>
      <w:r w:rsidR="00E74464" w:rsidRPr="00F002AB">
        <w:t xml:space="preserve"> </w:t>
      </w:r>
      <w:r w:rsidRPr="00F002AB">
        <w:t xml:space="preserve">de renforcer la résilience économique et climatique du Maroc, tout en catalysant une nouvelle génération d’entrepreneurs capables de concilier </w:t>
      </w:r>
      <w:r w:rsidRPr="00F002AB">
        <w:rPr>
          <w:rStyle w:val="Strong"/>
          <w:b w:val="0"/>
          <w:bCs w:val="0"/>
        </w:rPr>
        <w:t>innovation, durabilité et impact social</w:t>
      </w:r>
      <w:r w:rsidR="006A1211" w:rsidRPr="00F002AB">
        <w:rPr>
          <w:rStyle w:val="Strong"/>
          <w:b w:val="0"/>
          <w:bCs w:val="0"/>
        </w:rPr>
        <w:t>.</w:t>
      </w:r>
    </w:p>
    <w:p w14:paraId="334E5BC0" w14:textId="71350F47" w:rsidR="00C5217C" w:rsidRPr="00C5217C" w:rsidRDefault="00C94458" w:rsidP="00CF5685">
      <w:pPr>
        <w:pStyle w:val="Heading2"/>
        <w:numPr>
          <w:ilvl w:val="0"/>
          <w:numId w:val="19"/>
        </w:numPr>
        <w:spacing w:before="240" w:after="120"/>
      </w:pPr>
      <w:r w:rsidRPr="00F002AB">
        <w:rPr>
          <w:rStyle w:val="Strong"/>
          <w:b w:val="0"/>
          <w:bCs w:val="0"/>
        </w:rPr>
        <w:t>Objectifs du projet</w:t>
      </w:r>
    </w:p>
    <w:p w14:paraId="6022A106" w14:textId="1B98180C" w:rsidR="00C94458" w:rsidRPr="00F002AB" w:rsidRDefault="00C5217C" w:rsidP="00C5217C">
      <w:pPr>
        <w:spacing w:line="240" w:lineRule="auto"/>
        <w:jc w:val="both"/>
      </w:pPr>
      <w:r>
        <w:t>GYCII</w:t>
      </w:r>
      <w:r w:rsidR="00C94458" w:rsidRPr="00F002AB">
        <w:t xml:space="preserve"> a pour ambition de répondre de manière concrète et innovante aux défis et opportunités liés au changement climatique et à l’emploi des jeunes au Maroc. Il s’inscrit pleinement dans les </w:t>
      </w:r>
      <w:r w:rsidR="00C94458" w:rsidRPr="00F002AB">
        <w:rPr>
          <w:rStyle w:val="Strong"/>
          <w:b w:val="0"/>
          <w:bCs w:val="0"/>
        </w:rPr>
        <w:t>priorités nationales</w:t>
      </w:r>
      <w:r w:rsidR="00C94458" w:rsidRPr="00F002AB">
        <w:t xml:space="preserve"> d</w:t>
      </w:r>
      <w:r>
        <w:t xml:space="preserve">e l’Etat marocain </w:t>
      </w:r>
      <w:r w:rsidR="00C94458" w:rsidRPr="00F002AB">
        <w:t xml:space="preserve">en matière de développement durable, d’adaptation climatique et de promotion de l’entrepreneuriat, notamment à travers les cadres stratégiques tels que la </w:t>
      </w:r>
      <w:r w:rsidR="00C94458" w:rsidRPr="00F002AB">
        <w:rPr>
          <w:rStyle w:val="Strong"/>
          <w:b w:val="0"/>
          <w:bCs w:val="0"/>
        </w:rPr>
        <w:t>Contribution Déterminée au niveau National (CDN)</w:t>
      </w:r>
      <w:r w:rsidR="00C94458" w:rsidRPr="00F002AB">
        <w:t xml:space="preserve"> et la </w:t>
      </w:r>
      <w:r w:rsidR="00C94458" w:rsidRPr="00F002AB">
        <w:rPr>
          <w:rStyle w:val="Strong"/>
          <w:b w:val="0"/>
          <w:bCs w:val="0"/>
        </w:rPr>
        <w:t>stratégie “Génération Green 2020–2030”</w:t>
      </w:r>
      <w:r w:rsidR="00C94458" w:rsidRPr="00F002AB">
        <w:t>.</w:t>
      </w:r>
    </w:p>
    <w:p w14:paraId="2B885FF0" w14:textId="77777777" w:rsidR="00C94458" w:rsidRPr="00F002AB" w:rsidRDefault="00C94458" w:rsidP="00C5217C">
      <w:pPr>
        <w:spacing w:line="240" w:lineRule="auto"/>
        <w:jc w:val="both"/>
      </w:pPr>
      <w:r w:rsidRPr="00F002AB">
        <w:t>Plus spécifiquement, le projet poursuit trois objectifs principaux :</w:t>
      </w:r>
    </w:p>
    <w:p w14:paraId="29D53E39" w14:textId="77777777" w:rsidR="00C94458" w:rsidRPr="00F002AB" w:rsidRDefault="00C94458" w:rsidP="00C5217C">
      <w:pPr>
        <w:pStyle w:val="ListParagraph"/>
        <w:numPr>
          <w:ilvl w:val="0"/>
          <w:numId w:val="21"/>
        </w:numPr>
        <w:spacing w:line="240" w:lineRule="auto"/>
        <w:jc w:val="both"/>
      </w:pPr>
      <w:r w:rsidRPr="00C5217C">
        <w:rPr>
          <w:rStyle w:val="Strong"/>
          <w:b w:val="0"/>
          <w:bCs w:val="0"/>
        </w:rPr>
        <w:t>Créer un espace de convergence et d’apprentissage</w:t>
      </w:r>
      <w:r w:rsidRPr="00F002AB">
        <w:t xml:space="preserve"> réunissant des entrepreneurs et des experts engagés dans le développement et la mise à l’échelle de solutions durables face à la crise climatique, favorisant ainsi l’émergence d’une communauté de pratique autour de l’innovation verte.</w:t>
      </w:r>
    </w:p>
    <w:p w14:paraId="74C0E7D9" w14:textId="77777777" w:rsidR="00C94458" w:rsidRPr="00F002AB" w:rsidRDefault="00C5217C" w:rsidP="00C5217C">
      <w:pPr>
        <w:pStyle w:val="ListParagraph"/>
        <w:numPr>
          <w:ilvl w:val="0"/>
          <w:numId w:val="21"/>
        </w:numPr>
        <w:spacing w:line="240" w:lineRule="auto"/>
        <w:jc w:val="both"/>
      </w:pPr>
      <w:r w:rsidRPr="00C5217C">
        <w:rPr>
          <w:rStyle w:val="Strong"/>
          <w:b w:val="0"/>
          <w:bCs w:val="0"/>
        </w:rPr>
        <w:t>R</w:t>
      </w:r>
      <w:r w:rsidR="00C94458" w:rsidRPr="00C5217C">
        <w:rPr>
          <w:rStyle w:val="Strong"/>
          <w:b w:val="0"/>
          <w:bCs w:val="0"/>
        </w:rPr>
        <w:t>enforcer les capacités des entrepreneurs</w:t>
      </w:r>
      <w:r w:rsidR="00C94458" w:rsidRPr="00F002AB">
        <w:t xml:space="preserve"> pour leur permettre de développer et de déployer leurs solutions sur le marché, d’améliorer leurs modèles économiques, d’accéder à des financements et d’accroître la viabilité et la compétitivité de leurs entreprises.</w:t>
      </w:r>
    </w:p>
    <w:p w14:paraId="278B5330" w14:textId="77777777" w:rsidR="00C94458" w:rsidRDefault="00C94458" w:rsidP="00C5217C">
      <w:pPr>
        <w:pStyle w:val="ListParagraph"/>
        <w:numPr>
          <w:ilvl w:val="0"/>
          <w:numId w:val="21"/>
        </w:numPr>
        <w:spacing w:line="240" w:lineRule="auto"/>
        <w:jc w:val="both"/>
      </w:pPr>
      <w:r w:rsidRPr="00C5217C">
        <w:rPr>
          <w:rStyle w:val="Strong"/>
          <w:b w:val="0"/>
          <w:bCs w:val="0"/>
        </w:rPr>
        <w:t>Animer et structurer un écosystème collaboratif</w:t>
      </w:r>
      <w:r w:rsidRPr="00F002AB">
        <w:t xml:space="preserve"> d’acteurs de l’entrepreneuriat et de l’innovation durable, en stimulant les partenariats entre </w:t>
      </w:r>
      <w:r w:rsidR="00C5217C">
        <w:t>entrepreneurs</w:t>
      </w:r>
      <w:r w:rsidRPr="00F002AB">
        <w:t>, structures d’appui, institutions publiques, investisseurs et organisations de la société civile afin de renforcer l’appui aux initiatives à fort impact environnemental et social.</w:t>
      </w:r>
    </w:p>
    <w:p w14:paraId="27032CE2" w14:textId="77777777" w:rsidR="00C5217C" w:rsidRPr="00F002AB" w:rsidRDefault="00C5217C" w:rsidP="00C5217C">
      <w:pPr>
        <w:pStyle w:val="ListParagraph"/>
        <w:spacing w:line="240" w:lineRule="auto"/>
        <w:jc w:val="both"/>
      </w:pPr>
    </w:p>
    <w:tbl>
      <w:tblPr>
        <w:tblW w:w="0" w:type="auto"/>
        <w:tblCellMar>
          <w:top w:w="15" w:type="dxa"/>
          <w:left w:w="15" w:type="dxa"/>
          <w:bottom w:w="15" w:type="dxa"/>
          <w:right w:w="15" w:type="dxa"/>
        </w:tblCellMar>
        <w:tblLook w:val="04A0" w:firstRow="1" w:lastRow="0" w:firstColumn="1" w:lastColumn="0" w:noHBand="0" w:noVBand="1"/>
      </w:tblPr>
      <w:tblGrid>
        <w:gridCol w:w="4952"/>
        <w:gridCol w:w="5494"/>
      </w:tblGrid>
      <w:tr w:rsidR="000B07EB" w:rsidRPr="00F002AB" w14:paraId="6F932063" w14:textId="77777777" w:rsidTr="00CF5685">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DA8C7" w14:textId="77777777" w:rsidR="000B07EB" w:rsidRPr="00C5217C" w:rsidRDefault="000B07EB" w:rsidP="00C5217C">
            <w:pPr>
              <w:spacing w:line="240" w:lineRule="auto"/>
              <w:ind w:firstLine="709"/>
              <w:jc w:val="center"/>
              <w:rPr>
                <w:rFonts w:ascii="Times New Roman" w:hAnsi="Times New Roman" w:cs="Times New Roman"/>
                <w:b/>
                <w:bCs/>
                <w:sz w:val="24"/>
                <w:szCs w:val="24"/>
                <w:lang w:eastAsia="fr-FR"/>
              </w:rPr>
            </w:pPr>
            <w:r w:rsidRPr="00C5217C">
              <w:rPr>
                <w:b/>
                <w:bCs/>
                <w:lang w:eastAsia="fr-FR"/>
              </w:rPr>
              <w:t>Résultats escomptés</w:t>
            </w:r>
          </w:p>
        </w:tc>
        <w:tc>
          <w:tcPr>
            <w:tcW w:w="5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0A97E" w14:textId="77777777" w:rsidR="000B07EB" w:rsidRPr="00C5217C" w:rsidRDefault="000B07EB" w:rsidP="00C5217C">
            <w:pPr>
              <w:spacing w:line="240" w:lineRule="auto"/>
              <w:ind w:firstLine="709"/>
              <w:jc w:val="center"/>
              <w:rPr>
                <w:rFonts w:ascii="Times New Roman" w:hAnsi="Times New Roman" w:cs="Times New Roman"/>
                <w:b/>
                <w:bCs/>
                <w:sz w:val="24"/>
                <w:szCs w:val="24"/>
                <w:lang w:eastAsia="fr-FR"/>
              </w:rPr>
            </w:pPr>
            <w:r w:rsidRPr="00C5217C">
              <w:rPr>
                <w:b/>
                <w:bCs/>
                <w:lang w:eastAsia="fr-FR"/>
              </w:rPr>
              <w:t>Activités afférentes</w:t>
            </w:r>
          </w:p>
        </w:tc>
      </w:tr>
      <w:tr w:rsidR="000B07EB" w:rsidRPr="00F002AB" w14:paraId="306280FD" w14:textId="77777777" w:rsidTr="00CF5685">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5917" w14:textId="77777777" w:rsidR="00F002AB" w:rsidRPr="00F002AB" w:rsidRDefault="00F002AB" w:rsidP="00CF5685">
            <w:pPr>
              <w:pStyle w:val="ListParagraph"/>
              <w:numPr>
                <w:ilvl w:val="0"/>
                <w:numId w:val="22"/>
              </w:numPr>
              <w:spacing w:line="240" w:lineRule="auto"/>
            </w:pPr>
            <w:r w:rsidRPr="00C5217C">
              <w:rPr>
                <w:rStyle w:val="Strong"/>
                <w:b w:val="0"/>
                <w:bCs w:val="0"/>
              </w:rPr>
              <w:t>Création d’un espace collaboratif dédié à l’entrepreneuriat durable :</w:t>
            </w:r>
            <w:r w:rsidRPr="00F002AB">
              <w:br/>
              <w:t xml:space="preserve">Réunir au moins </w:t>
            </w:r>
            <w:r w:rsidRPr="00C5217C">
              <w:rPr>
                <w:rStyle w:val="Strong"/>
                <w:b w:val="0"/>
                <w:bCs w:val="0"/>
              </w:rPr>
              <w:t>100 entrepreneurs</w:t>
            </w:r>
            <w:r w:rsidRPr="00F002AB">
              <w:t xml:space="preserve"> et </w:t>
            </w:r>
            <w:r w:rsidRPr="00C5217C">
              <w:rPr>
                <w:rStyle w:val="Strong"/>
                <w:b w:val="0"/>
                <w:bCs w:val="0"/>
              </w:rPr>
              <w:t>50 experts</w:t>
            </w:r>
            <w:r w:rsidRPr="00F002AB">
              <w:t xml:space="preserve"> pour </w:t>
            </w:r>
            <w:proofErr w:type="spellStart"/>
            <w:r w:rsidRPr="00F002AB">
              <w:t>co-créer</w:t>
            </w:r>
            <w:proofErr w:type="spellEnd"/>
            <w:r w:rsidRPr="00F002AB">
              <w:t xml:space="preserve"> des solutions innovantes face à la crise climatique.</w:t>
            </w:r>
          </w:p>
          <w:p w14:paraId="2ABCD38C" w14:textId="77777777" w:rsidR="000B07EB" w:rsidRPr="00C5217C" w:rsidRDefault="00F002AB" w:rsidP="00CF5685">
            <w:pPr>
              <w:pStyle w:val="ListParagraph"/>
              <w:numPr>
                <w:ilvl w:val="0"/>
                <w:numId w:val="22"/>
              </w:numPr>
              <w:spacing w:line="240" w:lineRule="auto"/>
              <w:rPr>
                <w:rFonts w:ascii="Times New Roman" w:hAnsi="Times New Roman" w:cs="Times New Roman"/>
                <w:sz w:val="24"/>
                <w:szCs w:val="24"/>
                <w:lang w:eastAsia="fr-FR"/>
              </w:rPr>
            </w:pPr>
            <w:r w:rsidRPr="00C5217C">
              <w:rPr>
                <w:rStyle w:val="Strong"/>
                <w:b w:val="0"/>
                <w:bCs w:val="0"/>
              </w:rPr>
              <w:t>Renforcement des capacités de 80 entrepreneurs :</w:t>
            </w:r>
            <w:r w:rsidRPr="00F002AB">
              <w:br/>
              <w:t>Améliorer leurs compétences pour développer, financer et mettre à l’échelle leurs solutions vertes.</w:t>
            </w:r>
          </w:p>
          <w:p w14:paraId="290C7601" w14:textId="77777777" w:rsidR="00F002AB" w:rsidRPr="00C5217C" w:rsidRDefault="00F002AB" w:rsidP="00CF5685">
            <w:pPr>
              <w:pStyle w:val="ListParagraph"/>
              <w:numPr>
                <w:ilvl w:val="0"/>
                <w:numId w:val="22"/>
              </w:numPr>
              <w:spacing w:line="240" w:lineRule="auto"/>
              <w:rPr>
                <w:rFonts w:ascii="Times New Roman" w:hAnsi="Times New Roman" w:cs="Times New Roman"/>
                <w:sz w:val="24"/>
                <w:szCs w:val="24"/>
                <w:lang w:eastAsia="fr-FR"/>
              </w:rPr>
            </w:pPr>
            <w:r w:rsidRPr="00C5217C">
              <w:rPr>
                <w:rStyle w:val="Strong"/>
                <w:b w:val="0"/>
                <w:bCs w:val="0"/>
              </w:rPr>
              <w:t>Structuration de l’écosystème de l’entrepreneuriat vert</w:t>
            </w:r>
            <w:r w:rsidRPr="00F002AB">
              <w:br/>
              <w:t>Renforcer la collaboration entre entrepreneurs, structures d’appui et partenaires publics/privés.</w:t>
            </w:r>
          </w:p>
        </w:tc>
        <w:tc>
          <w:tcPr>
            <w:tcW w:w="5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A63BA" w14:textId="34DF4493" w:rsidR="00C5217C" w:rsidRDefault="00C5217C" w:rsidP="00CF5685">
            <w:pPr>
              <w:spacing w:line="240" w:lineRule="auto"/>
              <w:rPr>
                <w:rStyle w:val="Strong"/>
                <w:b w:val="0"/>
                <w:bCs w:val="0"/>
              </w:rPr>
            </w:pPr>
            <w:r w:rsidRPr="00C5217C">
              <w:rPr>
                <w:b/>
                <w:bCs/>
              </w:rPr>
              <w:t>1.1.</w:t>
            </w:r>
            <w:r>
              <w:t xml:space="preserve"> </w:t>
            </w:r>
            <w:r w:rsidR="00F002AB" w:rsidRPr="00F002AB">
              <w:t>Mobiliser les parties prenantes et aligner les activités sur les priorités locales et les marchés.</w:t>
            </w:r>
            <w:r w:rsidR="00F002AB" w:rsidRPr="00F002AB">
              <w:br/>
            </w:r>
            <w:r w:rsidR="00F002AB" w:rsidRPr="00C5217C">
              <w:rPr>
                <w:rStyle w:val="Strong"/>
              </w:rPr>
              <w:t>1.2.</w:t>
            </w:r>
            <w:r w:rsidR="00F002AB" w:rsidRPr="00F002AB">
              <w:t xml:space="preserve"> Recruter de jeunes entrepreneurs issus de divers horizons, avec une attention particulière aux femmes entrepreneures.</w:t>
            </w:r>
            <w:r w:rsidR="00F002AB" w:rsidRPr="00F002AB">
              <w:br/>
            </w:r>
            <w:r w:rsidR="00F002AB" w:rsidRPr="00C5217C">
              <w:rPr>
                <w:rStyle w:val="Strong"/>
              </w:rPr>
              <w:t>1.3.</w:t>
            </w:r>
            <w:r w:rsidR="00F002AB" w:rsidRPr="00F002AB">
              <w:t xml:space="preserve"> Organiser des </w:t>
            </w:r>
            <w:r w:rsidR="00F002AB" w:rsidRPr="00F002AB">
              <w:rPr>
                <w:rStyle w:val="Strong"/>
                <w:b w:val="0"/>
                <w:bCs w:val="0"/>
              </w:rPr>
              <w:t xml:space="preserve">Design </w:t>
            </w:r>
            <w:proofErr w:type="spellStart"/>
            <w:r w:rsidR="00F002AB" w:rsidRPr="00F002AB">
              <w:rPr>
                <w:rStyle w:val="Strong"/>
                <w:b w:val="0"/>
                <w:bCs w:val="0"/>
              </w:rPr>
              <w:t>Labs</w:t>
            </w:r>
            <w:proofErr w:type="spellEnd"/>
            <w:r w:rsidR="00F002AB" w:rsidRPr="00F002AB">
              <w:t xml:space="preserve"> réunissant entrepreneurs et experts locaux pour l’idéation et la conception de solutions vertes.</w:t>
            </w:r>
          </w:p>
          <w:p w14:paraId="496A60CA" w14:textId="7456886D" w:rsidR="00F002AB" w:rsidRPr="00F002AB" w:rsidRDefault="00F002AB" w:rsidP="00CF5685">
            <w:pPr>
              <w:spacing w:line="240" w:lineRule="auto"/>
              <w:rPr>
                <w:rFonts w:ascii="Times New Roman" w:hAnsi="Times New Roman" w:cs="Times New Roman"/>
                <w:sz w:val="24"/>
                <w:szCs w:val="24"/>
                <w:lang w:eastAsia="fr-FR"/>
              </w:rPr>
            </w:pPr>
            <w:r w:rsidRPr="00C5217C">
              <w:rPr>
                <w:rStyle w:val="Strong"/>
              </w:rPr>
              <w:t>2.1.</w:t>
            </w:r>
            <w:r w:rsidRPr="00F002AB">
              <w:t xml:space="preserve"> Fournir des services d’</w:t>
            </w:r>
            <w:r w:rsidRPr="00F002AB">
              <w:rPr>
                <w:rStyle w:val="Strong"/>
                <w:b w:val="0"/>
                <w:bCs w:val="0"/>
              </w:rPr>
              <w:t>incubation</w:t>
            </w:r>
            <w:r w:rsidRPr="00F002AB">
              <w:t xml:space="preserve"> à </w:t>
            </w:r>
            <w:r w:rsidRPr="00F002AB">
              <w:rPr>
                <w:rStyle w:val="Strong"/>
                <w:b w:val="0"/>
                <w:bCs w:val="0"/>
              </w:rPr>
              <w:t>80 entreprises</w:t>
            </w:r>
            <w:r w:rsidRPr="00F002AB">
              <w:t>.</w:t>
            </w:r>
            <w:r w:rsidRPr="00F002AB">
              <w:br/>
            </w:r>
            <w:r w:rsidRPr="00C5217C">
              <w:rPr>
                <w:rStyle w:val="Strong"/>
              </w:rPr>
              <w:t>2.2.</w:t>
            </w:r>
            <w:r w:rsidRPr="00F002AB">
              <w:t xml:space="preserve"> Offrir un appui à l’</w:t>
            </w:r>
            <w:r w:rsidRPr="00F002AB">
              <w:rPr>
                <w:rStyle w:val="Strong"/>
                <w:b w:val="0"/>
                <w:bCs w:val="0"/>
              </w:rPr>
              <w:t>accélération</w:t>
            </w:r>
            <w:r w:rsidRPr="00F002AB">
              <w:t xml:space="preserve"> des entreprises à fort potentiel de croissance.</w:t>
            </w:r>
            <w:r w:rsidRPr="00F002AB">
              <w:br/>
            </w:r>
            <w:r w:rsidRPr="00C5217C">
              <w:rPr>
                <w:rStyle w:val="Strong"/>
              </w:rPr>
              <w:t>2.3.</w:t>
            </w:r>
            <w:r w:rsidRPr="00F002AB">
              <w:t xml:space="preserve"> Accompagner la </w:t>
            </w:r>
            <w:r w:rsidRPr="00F002AB">
              <w:rPr>
                <w:rStyle w:val="Strong"/>
                <w:b w:val="0"/>
                <w:bCs w:val="0"/>
              </w:rPr>
              <w:t>mise à l’échelle</w:t>
            </w:r>
            <w:r w:rsidRPr="00F002AB">
              <w:t xml:space="preserve"> des entreprises sélectionnées.</w:t>
            </w:r>
            <w:r w:rsidRPr="00F002AB">
              <w:br/>
            </w:r>
            <w:r w:rsidRPr="00C5217C">
              <w:rPr>
                <w:rStyle w:val="Strong"/>
              </w:rPr>
              <w:t>2.4.</w:t>
            </w:r>
            <w:r w:rsidRPr="00F002AB">
              <w:t xml:space="preserve"> Faciliter la création de </w:t>
            </w:r>
            <w:r w:rsidRPr="00F002AB">
              <w:rPr>
                <w:rStyle w:val="Strong"/>
                <w:b w:val="0"/>
                <w:bCs w:val="0"/>
              </w:rPr>
              <w:t>réseaux d’entrepreneurs</w:t>
            </w:r>
            <w:r w:rsidRPr="00F002AB">
              <w:t xml:space="preserve"> et renforcer l’appui aux femmes entrepreneures.</w:t>
            </w:r>
          </w:p>
          <w:p w14:paraId="111010D5" w14:textId="77777777" w:rsidR="00F002AB" w:rsidRPr="00F002AB" w:rsidRDefault="00F002AB" w:rsidP="00CF5685">
            <w:pPr>
              <w:spacing w:line="240" w:lineRule="auto"/>
            </w:pPr>
            <w:r w:rsidRPr="00C5217C">
              <w:rPr>
                <w:rStyle w:val="Strong"/>
              </w:rPr>
              <w:t>3.1.</w:t>
            </w:r>
            <w:r w:rsidRPr="00F002AB">
              <w:t xml:space="preserve"> Appuyer la participation des entrepreneurs à des </w:t>
            </w:r>
            <w:r w:rsidRPr="00F002AB">
              <w:rPr>
                <w:rStyle w:val="Strong"/>
                <w:b w:val="0"/>
                <w:bCs w:val="0"/>
              </w:rPr>
              <w:t>événements et salons régionaux</w:t>
            </w:r>
            <w:r w:rsidRPr="00F002AB">
              <w:t>.</w:t>
            </w:r>
            <w:r w:rsidRPr="00F002AB">
              <w:br/>
            </w:r>
            <w:r w:rsidRPr="00C5217C">
              <w:rPr>
                <w:rStyle w:val="Strong"/>
              </w:rPr>
              <w:t>3.2.</w:t>
            </w:r>
            <w:r w:rsidRPr="00F002AB">
              <w:t xml:space="preserve"> Mettre en place un </w:t>
            </w:r>
            <w:r w:rsidRPr="00F002AB">
              <w:rPr>
                <w:rStyle w:val="Strong"/>
                <w:b w:val="0"/>
                <w:bCs w:val="0"/>
              </w:rPr>
              <w:t>mécanisme de financement mixte</w:t>
            </w:r>
            <w:r w:rsidRPr="00F002AB">
              <w:t xml:space="preserve"> (</w:t>
            </w:r>
            <w:proofErr w:type="spellStart"/>
            <w:r w:rsidRPr="00F002AB">
              <w:rPr>
                <w:rStyle w:val="Emphasis"/>
              </w:rPr>
              <w:t>blended</w:t>
            </w:r>
            <w:proofErr w:type="spellEnd"/>
            <w:r w:rsidRPr="00F002AB">
              <w:rPr>
                <w:rStyle w:val="Emphasis"/>
              </w:rPr>
              <w:t xml:space="preserve"> finance</w:t>
            </w:r>
            <w:r w:rsidRPr="00F002AB">
              <w:t>) pour soutenir la durabilité et la mise à l’échelle.</w:t>
            </w:r>
            <w:r w:rsidRPr="00F002AB">
              <w:br/>
            </w:r>
            <w:r w:rsidRPr="00C5217C">
              <w:rPr>
                <w:rStyle w:val="Strong"/>
              </w:rPr>
              <w:t>3.3.</w:t>
            </w:r>
            <w:r w:rsidRPr="00F002AB">
              <w:t xml:space="preserve"> Promouvoir les </w:t>
            </w:r>
            <w:r w:rsidRPr="00F002AB">
              <w:rPr>
                <w:rStyle w:val="Strong"/>
                <w:b w:val="0"/>
                <w:bCs w:val="0"/>
              </w:rPr>
              <w:t>échanges de bonnes pratiques</w:t>
            </w:r>
            <w:r w:rsidRPr="00F002AB">
              <w:t xml:space="preserve"> avec d’autres hubs et acteurs de l’écosystème entrepreneurial.</w:t>
            </w:r>
          </w:p>
        </w:tc>
      </w:tr>
    </w:tbl>
    <w:p w14:paraId="39EA5F5D" w14:textId="77777777" w:rsidR="000B100D" w:rsidRPr="00F002AB" w:rsidRDefault="000B100D" w:rsidP="00CF5685">
      <w:pPr>
        <w:spacing w:line="240" w:lineRule="auto"/>
        <w:jc w:val="both"/>
      </w:pPr>
    </w:p>
    <w:p w14:paraId="503683C9" w14:textId="36BCB350" w:rsidR="002B6CA8" w:rsidRDefault="002B6CA8" w:rsidP="00CF5685">
      <w:pPr>
        <w:pStyle w:val="Heading2"/>
        <w:spacing w:after="120"/>
        <w:rPr>
          <w:lang w:eastAsia="fr-FR"/>
        </w:rPr>
      </w:pPr>
      <w:r>
        <w:rPr>
          <w:lang w:eastAsia="fr-FR"/>
        </w:rPr>
        <w:t xml:space="preserve"> </w:t>
      </w:r>
      <w:r w:rsidRPr="002B6CA8">
        <w:rPr>
          <w:lang w:eastAsia="fr-FR"/>
        </w:rPr>
        <w:t>3-</w:t>
      </w:r>
      <w:r>
        <w:rPr>
          <w:lang w:eastAsia="fr-FR"/>
        </w:rPr>
        <w:t xml:space="preserve"> </w:t>
      </w:r>
      <w:r w:rsidR="000B100D" w:rsidRPr="00F002AB">
        <w:rPr>
          <w:lang w:eastAsia="fr-FR"/>
        </w:rPr>
        <w:t>Objectifs de l’évaluation</w:t>
      </w:r>
    </w:p>
    <w:p w14:paraId="566AA92F" w14:textId="77777777" w:rsidR="002B6CA8" w:rsidRDefault="000B100D" w:rsidP="002B6CA8">
      <w:pPr>
        <w:spacing w:line="240" w:lineRule="auto"/>
        <w:jc w:val="both"/>
        <w:rPr>
          <w:rFonts w:ascii="Times New Roman" w:hAnsi="Times New Roman" w:cs="Times New Roman"/>
          <w:sz w:val="24"/>
          <w:szCs w:val="24"/>
          <w:lang w:eastAsia="fr-FR"/>
        </w:rPr>
      </w:pPr>
      <w:r w:rsidRPr="00F002AB">
        <w:rPr>
          <w:lang w:eastAsia="fr-FR"/>
        </w:rPr>
        <w:t>L’évaluation finale vise à apprécier de manière indépendante et objective la performance globale du projet GYCII, en mettant l’accent sur la pertinence, l’efficacité, l’efficience, les impacts et la durabilité des interventions mises en œuvre.</w:t>
      </w:r>
    </w:p>
    <w:p w14:paraId="54E950E1" w14:textId="77777777" w:rsidR="000B100D"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lastRenderedPageBreak/>
        <w:t>Elle doit permettre de tirer les principales leçons et recommandations pour améliorer la conception et la mise en œuvre de futurs programmes d’incubation et d’accompagnement de l’entrepreneuriat vert, en particulier chez les jeunes et les femmes.</w:t>
      </w:r>
    </w:p>
    <w:p w14:paraId="15D0BBA8" w14:textId="77777777" w:rsidR="000B100D"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t>L’évaluation cherchera plus spécifiquement à :</w:t>
      </w:r>
    </w:p>
    <w:p w14:paraId="03BBCF70" w14:textId="77777777" w:rsidR="002B6CA8" w:rsidRDefault="000B100D" w:rsidP="002B6CA8">
      <w:pPr>
        <w:pStyle w:val="ListParagraph"/>
        <w:numPr>
          <w:ilvl w:val="0"/>
          <w:numId w:val="23"/>
        </w:numPr>
        <w:spacing w:line="240" w:lineRule="auto"/>
        <w:jc w:val="both"/>
        <w:rPr>
          <w:lang w:eastAsia="fr-FR"/>
        </w:rPr>
      </w:pPr>
      <w:r w:rsidRPr="00F002AB">
        <w:rPr>
          <w:lang w:eastAsia="fr-FR"/>
        </w:rPr>
        <w:t>Analyser la pertinence du projet au regard des priorités nationales de lutte contre le changement climatique, de promotion de l’emploi et d’inclusion économique.</w:t>
      </w:r>
    </w:p>
    <w:p w14:paraId="5711A007" w14:textId="77777777" w:rsidR="002B6CA8" w:rsidRDefault="000B100D" w:rsidP="002B6CA8">
      <w:pPr>
        <w:pStyle w:val="ListParagraph"/>
        <w:numPr>
          <w:ilvl w:val="0"/>
          <w:numId w:val="23"/>
        </w:numPr>
        <w:spacing w:line="240" w:lineRule="auto"/>
        <w:jc w:val="both"/>
        <w:rPr>
          <w:lang w:eastAsia="fr-FR"/>
        </w:rPr>
      </w:pPr>
      <w:r w:rsidRPr="00F002AB">
        <w:rPr>
          <w:lang w:eastAsia="fr-FR"/>
        </w:rPr>
        <w:t>Apprécier l’efficacité du projet dans l’atteinte de ses résultats, notamment en matière de renforcement des capacités, d’accès au marché, de mobilisation de financements et de structuration d’un écosystème entrepreneurial vert.</w:t>
      </w:r>
    </w:p>
    <w:p w14:paraId="5A350A0D" w14:textId="77777777" w:rsidR="002B6CA8" w:rsidRDefault="000B100D" w:rsidP="002B6CA8">
      <w:pPr>
        <w:pStyle w:val="ListParagraph"/>
        <w:numPr>
          <w:ilvl w:val="0"/>
          <w:numId w:val="23"/>
        </w:numPr>
        <w:spacing w:line="240" w:lineRule="auto"/>
        <w:jc w:val="both"/>
        <w:rPr>
          <w:lang w:eastAsia="fr-FR"/>
        </w:rPr>
      </w:pPr>
      <w:r w:rsidRPr="00F002AB">
        <w:rPr>
          <w:lang w:eastAsia="fr-FR"/>
        </w:rPr>
        <w:t>Évaluer l’efficience de la mise en œuvre, y compris l’adéquation des ressources mobilisées (financières, humaines, techniques) et la valeur ajoutée du modèle hybride (présentiel/à distance, en groupe/individuel).</w:t>
      </w:r>
    </w:p>
    <w:p w14:paraId="3FCF88F0" w14:textId="77777777" w:rsidR="002B6CA8" w:rsidRDefault="000B100D" w:rsidP="002B6CA8">
      <w:pPr>
        <w:pStyle w:val="ListParagraph"/>
        <w:numPr>
          <w:ilvl w:val="0"/>
          <w:numId w:val="23"/>
        </w:numPr>
        <w:spacing w:line="240" w:lineRule="auto"/>
        <w:jc w:val="both"/>
        <w:rPr>
          <w:lang w:eastAsia="fr-FR"/>
        </w:rPr>
      </w:pPr>
      <w:r w:rsidRPr="00F002AB">
        <w:rPr>
          <w:lang w:eastAsia="fr-FR"/>
        </w:rPr>
        <w:t>Identifier les effets et impacts du projet sur les bénéficiaires directs (start-ups), sur l’écosystème local (partenaires, investisseurs, institutions), et sur les dynamiques sociales (emploi, inclusion des femmes et des jeunes, résilience climatique).</w:t>
      </w:r>
    </w:p>
    <w:p w14:paraId="044ECDDD" w14:textId="77777777" w:rsidR="00E74464" w:rsidRDefault="000B100D" w:rsidP="002B6CA8">
      <w:pPr>
        <w:pStyle w:val="ListParagraph"/>
        <w:numPr>
          <w:ilvl w:val="0"/>
          <w:numId w:val="23"/>
        </w:numPr>
        <w:spacing w:line="240" w:lineRule="auto"/>
        <w:jc w:val="both"/>
        <w:rPr>
          <w:lang w:eastAsia="fr-FR"/>
        </w:rPr>
      </w:pPr>
      <w:r w:rsidRPr="00F002AB">
        <w:rPr>
          <w:lang w:eastAsia="fr-FR"/>
        </w:rPr>
        <w:t>Apprécier la durabilité des résultats et les conditions de leur pérennisation, notamment la viabilité financière et institutionnelle des start-ups soutenues et des partenariats créés.</w:t>
      </w:r>
    </w:p>
    <w:p w14:paraId="02944574" w14:textId="7699E301" w:rsidR="002B6CA8" w:rsidRDefault="000B100D" w:rsidP="00CF5685">
      <w:pPr>
        <w:pStyle w:val="ListParagraph"/>
        <w:numPr>
          <w:ilvl w:val="0"/>
          <w:numId w:val="23"/>
        </w:numPr>
        <w:spacing w:line="240" w:lineRule="auto"/>
        <w:jc w:val="both"/>
        <w:rPr>
          <w:lang w:eastAsia="fr-FR"/>
        </w:rPr>
      </w:pPr>
      <w:r w:rsidRPr="00F002AB">
        <w:rPr>
          <w:lang w:eastAsia="fr-FR"/>
        </w:rPr>
        <w:t>Documenter les changements les plus significatifs induits par le projet pour les entrepreneurs appuyés et l’écosystème local.</w:t>
      </w:r>
    </w:p>
    <w:p w14:paraId="6551A426" w14:textId="08A6A61D" w:rsidR="002B6CA8" w:rsidRPr="002B6CA8" w:rsidRDefault="000B100D" w:rsidP="00CF5685">
      <w:pPr>
        <w:pStyle w:val="Heading2"/>
        <w:numPr>
          <w:ilvl w:val="0"/>
          <w:numId w:val="22"/>
        </w:numPr>
        <w:spacing w:after="120"/>
        <w:rPr>
          <w:lang w:eastAsia="fr-FR"/>
        </w:rPr>
      </w:pPr>
      <w:r w:rsidRPr="00F002AB">
        <w:rPr>
          <w:lang w:eastAsia="fr-FR"/>
        </w:rPr>
        <w:t>Résultats attendus de l’évaluation</w:t>
      </w:r>
    </w:p>
    <w:p w14:paraId="08132662" w14:textId="77777777" w:rsidR="000B100D"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t>L’évaluation est censée produire les résultats suivants :</w:t>
      </w:r>
    </w:p>
    <w:p w14:paraId="61B426F6" w14:textId="77777777" w:rsidR="002B6CA8" w:rsidRDefault="000B100D" w:rsidP="002B6CA8">
      <w:pPr>
        <w:pStyle w:val="ListParagraph"/>
        <w:numPr>
          <w:ilvl w:val="0"/>
          <w:numId w:val="24"/>
        </w:numPr>
        <w:spacing w:line="240" w:lineRule="auto"/>
        <w:rPr>
          <w:lang w:eastAsia="fr-FR"/>
        </w:rPr>
      </w:pPr>
      <w:r w:rsidRPr="00F002AB">
        <w:rPr>
          <w:lang w:eastAsia="fr-FR"/>
        </w:rPr>
        <w:t>Un rapport d’évaluation complet, incluant une analyse détaillée selon les cinq critères d’évaluation (pertinence, efficacité, efficience, impact, durabilité) et intégrant une perspective genre et inclusion.</w:t>
      </w:r>
    </w:p>
    <w:p w14:paraId="57478F65" w14:textId="77777777" w:rsidR="002B6CA8" w:rsidRDefault="000B100D" w:rsidP="002B6CA8">
      <w:pPr>
        <w:pStyle w:val="ListParagraph"/>
        <w:numPr>
          <w:ilvl w:val="0"/>
          <w:numId w:val="24"/>
        </w:numPr>
        <w:spacing w:line="240" w:lineRule="auto"/>
        <w:rPr>
          <w:lang w:eastAsia="fr-FR"/>
        </w:rPr>
      </w:pPr>
      <w:r w:rsidRPr="00F002AB">
        <w:rPr>
          <w:lang w:eastAsia="fr-FR"/>
        </w:rPr>
        <w:t>Une synthèse exécutive présentant les constats majeurs, les bonnes pratiques, les innovations du projet, les limites identifiées et les recommandations stratégiques et opérationnelles.</w:t>
      </w:r>
    </w:p>
    <w:p w14:paraId="6F550256" w14:textId="77777777" w:rsidR="002B6CA8" w:rsidRDefault="000B100D" w:rsidP="002B6CA8">
      <w:pPr>
        <w:pStyle w:val="ListParagraph"/>
        <w:numPr>
          <w:ilvl w:val="0"/>
          <w:numId w:val="24"/>
        </w:numPr>
        <w:spacing w:line="240" w:lineRule="auto"/>
        <w:rPr>
          <w:lang w:eastAsia="fr-FR"/>
        </w:rPr>
      </w:pPr>
      <w:r w:rsidRPr="00F002AB">
        <w:rPr>
          <w:lang w:eastAsia="fr-FR"/>
        </w:rPr>
        <w:t>Un ensemble de recommandations concrètes et hiérarchisées, destinées :</w:t>
      </w:r>
      <w:r w:rsidRPr="00F002AB">
        <w:rPr>
          <w:lang w:eastAsia="fr-FR"/>
        </w:rPr>
        <w:br/>
        <w:t>aux structures de mise en œuvre (pour capitaliser et améliorer les approches futures, voire de possibles extensions du projet sur d’autres territoires) ;</w:t>
      </w:r>
    </w:p>
    <w:p w14:paraId="71DDD949" w14:textId="7C3F5510" w:rsidR="002B6CA8" w:rsidRDefault="000B100D" w:rsidP="00CF5685">
      <w:pPr>
        <w:pStyle w:val="ListParagraph"/>
        <w:numPr>
          <w:ilvl w:val="0"/>
          <w:numId w:val="24"/>
        </w:numPr>
        <w:spacing w:line="240" w:lineRule="auto"/>
        <w:rPr>
          <w:lang w:eastAsia="fr-FR"/>
        </w:rPr>
      </w:pPr>
      <w:r w:rsidRPr="00F002AB">
        <w:rPr>
          <w:lang w:eastAsia="fr-FR"/>
        </w:rPr>
        <w:t>Une restitution orale des résultats auprès de l’équipe projet de la NEF.</w:t>
      </w:r>
    </w:p>
    <w:p w14:paraId="1405283E" w14:textId="24AF3F4D" w:rsidR="002B6CA8" w:rsidRPr="002B6CA8" w:rsidRDefault="000B100D" w:rsidP="00CF5685">
      <w:pPr>
        <w:pStyle w:val="Heading2"/>
        <w:numPr>
          <w:ilvl w:val="0"/>
          <w:numId w:val="22"/>
        </w:numPr>
        <w:spacing w:after="120"/>
        <w:rPr>
          <w:lang w:eastAsia="fr-FR"/>
        </w:rPr>
      </w:pPr>
      <w:r w:rsidRPr="00F002AB">
        <w:rPr>
          <w:lang w:eastAsia="fr-FR"/>
        </w:rPr>
        <w:t>Méthodologie de l’évaluation</w:t>
      </w:r>
    </w:p>
    <w:p w14:paraId="24E57FA2" w14:textId="77777777" w:rsidR="000B100D"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t>La méthodologie proposée combinera une analyse documentaire, une collecte primaire de données, et un croisement analytique avec les données de suivi du cadre logique du projet.</w:t>
      </w:r>
    </w:p>
    <w:p w14:paraId="135E2AAB" w14:textId="77777777" w:rsidR="000B100D" w:rsidRPr="002B6CA8" w:rsidRDefault="000B100D" w:rsidP="002B6CA8">
      <w:pPr>
        <w:spacing w:line="240" w:lineRule="auto"/>
        <w:rPr>
          <w:rFonts w:ascii="Times New Roman" w:hAnsi="Times New Roman" w:cs="Times New Roman"/>
          <w:sz w:val="24"/>
          <w:szCs w:val="24"/>
          <w:lang w:eastAsia="fr-FR"/>
        </w:rPr>
      </w:pPr>
      <w:r w:rsidRPr="002B6CA8">
        <w:rPr>
          <w:b/>
          <w:bCs/>
          <w:lang w:eastAsia="fr-FR"/>
        </w:rPr>
        <w:t>a. Revue documentaire</w:t>
      </w:r>
      <w:r w:rsidR="002B6CA8" w:rsidRPr="002B6CA8">
        <w:rPr>
          <w:b/>
          <w:bCs/>
          <w:lang w:eastAsia="fr-FR"/>
        </w:rPr>
        <w:t> </w:t>
      </w:r>
      <w:r w:rsidR="002B6CA8" w:rsidRPr="002B6CA8">
        <w:rPr>
          <w:rFonts w:ascii="Times New Roman" w:hAnsi="Times New Roman" w:cs="Times New Roman"/>
          <w:b/>
          <w:bCs/>
          <w:sz w:val="24"/>
          <w:szCs w:val="24"/>
          <w:lang w:eastAsia="fr-FR"/>
        </w:rPr>
        <w:t>:</w:t>
      </w:r>
      <w:r w:rsidR="002B6CA8">
        <w:rPr>
          <w:rFonts w:ascii="Times New Roman" w:hAnsi="Times New Roman" w:cs="Times New Roman"/>
          <w:sz w:val="24"/>
          <w:szCs w:val="24"/>
          <w:lang w:eastAsia="fr-FR"/>
        </w:rPr>
        <w:t xml:space="preserve"> </w:t>
      </w:r>
      <w:r w:rsidRPr="00F002AB">
        <w:rPr>
          <w:lang w:eastAsia="fr-FR"/>
        </w:rPr>
        <w:t>Analyse du cadre logique, rapports de suivi, rapports d’activités et de formation, base de données des start-ups, et documents de capitalisation.</w:t>
      </w:r>
      <w:r w:rsidRPr="00F002AB">
        <w:rPr>
          <w:lang w:eastAsia="fr-FR"/>
        </w:rPr>
        <w:br/>
      </w:r>
      <w:r w:rsidRPr="00F002AB">
        <w:rPr>
          <w:lang w:eastAsia="fr-FR"/>
        </w:rPr>
        <w:br/>
      </w:r>
      <w:r w:rsidRPr="002B6CA8">
        <w:rPr>
          <w:b/>
          <w:bCs/>
          <w:lang w:eastAsia="fr-FR"/>
        </w:rPr>
        <w:t>b. Collecte de données primaires</w:t>
      </w:r>
    </w:p>
    <w:p w14:paraId="1E979A2B" w14:textId="77777777" w:rsidR="002B6CA8" w:rsidRDefault="000B100D" w:rsidP="002B6CA8">
      <w:pPr>
        <w:spacing w:line="240" w:lineRule="auto"/>
        <w:jc w:val="both"/>
        <w:rPr>
          <w:rFonts w:ascii="Times New Roman" w:hAnsi="Times New Roman" w:cs="Times New Roman"/>
          <w:sz w:val="24"/>
          <w:szCs w:val="24"/>
          <w:lang w:eastAsia="fr-FR"/>
        </w:rPr>
      </w:pPr>
      <w:r w:rsidRPr="00F002AB">
        <w:rPr>
          <w:lang w:eastAsia="fr-FR"/>
        </w:rPr>
        <w:t>Les enquêtes seront menées auprès des parties prenantes suivantes :</w:t>
      </w:r>
    </w:p>
    <w:p w14:paraId="3902385E" w14:textId="77777777" w:rsidR="002B6CA8" w:rsidRPr="002B6CA8" w:rsidRDefault="000B100D" w:rsidP="002B6CA8">
      <w:pPr>
        <w:pStyle w:val="ListParagraph"/>
        <w:numPr>
          <w:ilvl w:val="0"/>
          <w:numId w:val="25"/>
        </w:numPr>
        <w:spacing w:line="240" w:lineRule="auto"/>
        <w:rPr>
          <w:rFonts w:ascii="Times New Roman" w:hAnsi="Times New Roman" w:cs="Times New Roman"/>
          <w:sz w:val="24"/>
          <w:szCs w:val="24"/>
          <w:lang w:eastAsia="fr-FR"/>
        </w:rPr>
      </w:pPr>
      <w:r w:rsidRPr="00F002AB">
        <w:rPr>
          <w:lang w:eastAsia="fr-FR"/>
        </w:rPr>
        <w:t>28 start-ups bénéficiaires (entretiens semi-structurés téléphoniques) ;</w:t>
      </w:r>
    </w:p>
    <w:p w14:paraId="25393256" w14:textId="77777777" w:rsidR="002B6CA8" w:rsidRPr="002B6CA8" w:rsidRDefault="000B100D" w:rsidP="002B6CA8">
      <w:pPr>
        <w:pStyle w:val="ListParagraph"/>
        <w:numPr>
          <w:ilvl w:val="0"/>
          <w:numId w:val="25"/>
        </w:numPr>
        <w:spacing w:line="240" w:lineRule="auto"/>
        <w:rPr>
          <w:rFonts w:ascii="Times New Roman" w:hAnsi="Times New Roman" w:cs="Times New Roman"/>
          <w:sz w:val="24"/>
          <w:szCs w:val="24"/>
          <w:lang w:eastAsia="fr-FR"/>
        </w:rPr>
      </w:pPr>
      <w:r w:rsidRPr="00F002AB">
        <w:rPr>
          <w:lang w:eastAsia="fr-FR"/>
        </w:rPr>
        <w:t>5 experts impliqués dans le projet, à Marrakech ;</w:t>
      </w:r>
    </w:p>
    <w:p w14:paraId="1E4CCBF6" w14:textId="77777777" w:rsidR="002B6CA8" w:rsidRPr="002B6CA8" w:rsidRDefault="000B100D" w:rsidP="002B6CA8">
      <w:pPr>
        <w:pStyle w:val="ListParagraph"/>
        <w:numPr>
          <w:ilvl w:val="0"/>
          <w:numId w:val="25"/>
        </w:numPr>
        <w:spacing w:line="240" w:lineRule="auto"/>
        <w:rPr>
          <w:rFonts w:ascii="Times New Roman" w:hAnsi="Times New Roman" w:cs="Times New Roman"/>
          <w:sz w:val="24"/>
          <w:szCs w:val="24"/>
          <w:lang w:eastAsia="fr-FR"/>
        </w:rPr>
      </w:pPr>
      <w:r w:rsidRPr="00F002AB">
        <w:rPr>
          <w:lang w:eastAsia="fr-FR"/>
        </w:rPr>
        <w:t>2 membres de l’équipe projet de la NEF (mise en œuvre et suivi) ;</w:t>
      </w:r>
    </w:p>
    <w:p w14:paraId="0339511F" w14:textId="77777777" w:rsidR="000B100D" w:rsidRPr="002B6CA8" w:rsidRDefault="000B100D" w:rsidP="002B6CA8">
      <w:pPr>
        <w:pStyle w:val="ListParagraph"/>
        <w:numPr>
          <w:ilvl w:val="0"/>
          <w:numId w:val="25"/>
        </w:numPr>
        <w:spacing w:line="240" w:lineRule="auto"/>
        <w:rPr>
          <w:rFonts w:ascii="Times New Roman" w:hAnsi="Times New Roman" w:cs="Times New Roman"/>
          <w:sz w:val="24"/>
          <w:szCs w:val="24"/>
          <w:lang w:eastAsia="fr-FR"/>
        </w:rPr>
      </w:pPr>
      <w:r w:rsidRPr="00F002AB">
        <w:rPr>
          <w:lang w:eastAsia="fr-FR"/>
        </w:rPr>
        <w:t>1 membre de la structure partenaire (EBF, à Marrakech) ;</w:t>
      </w:r>
    </w:p>
    <w:p w14:paraId="48E9C0F1" w14:textId="77777777" w:rsidR="000B100D"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t>Des outils d’enquête standardisés (</w:t>
      </w:r>
      <w:r w:rsidRPr="003D6B82">
        <w:rPr>
          <w:b/>
          <w:bCs/>
          <w:lang w:eastAsia="fr-FR"/>
        </w:rPr>
        <w:t>déjà existants</w:t>
      </w:r>
      <w:r w:rsidRPr="00F002AB">
        <w:rPr>
          <w:lang w:eastAsia="fr-FR"/>
        </w:rPr>
        <w:t>) seront utilisés, permettant une analyse quantitative et qualitative rigoureuse.</w:t>
      </w:r>
    </w:p>
    <w:p w14:paraId="4A9BBD9C" w14:textId="77777777" w:rsidR="000B100D" w:rsidRPr="002B6CA8" w:rsidRDefault="000B100D" w:rsidP="002B6CA8">
      <w:pPr>
        <w:spacing w:line="240" w:lineRule="auto"/>
        <w:jc w:val="both"/>
        <w:rPr>
          <w:b/>
          <w:bCs/>
          <w:lang w:eastAsia="fr-FR"/>
        </w:rPr>
      </w:pPr>
      <w:r w:rsidRPr="002B6CA8">
        <w:rPr>
          <w:b/>
          <w:bCs/>
          <w:lang w:eastAsia="fr-FR"/>
        </w:rPr>
        <w:t>c. Approche analytique</w:t>
      </w:r>
    </w:p>
    <w:p w14:paraId="53C5F545" w14:textId="77777777" w:rsidR="002B6CA8" w:rsidRDefault="000B100D" w:rsidP="002B6CA8">
      <w:pPr>
        <w:pStyle w:val="ListParagraph"/>
        <w:numPr>
          <w:ilvl w:val="0"/>
          <w:numId w:val="26"/>
        </w:numPr>
        <w:spacing w:line="240" w:lineRule="auto"/>
        <w:jc w:val="both"/>
        <w:rPr>
          <w:lang w:eastAsia="fr-FR"/>
        </w:rPr>
      </w:pPr>
      <w:r w:rsidRPr="00F002AB">
        <w:rPr>
          <w:lang w:eastAsia="fr-FR"/>
        </w:rPr>
        <w:t>Croisement des résultats d’enquêtes avec les indicateurs du cadre logique (taux de start-ups en activité, levées de fonds, emplois créés, part de femmes bénéficiaires, etc.).</w:t>
      </w:r>
    </w:p>
    <w:p w14:paraId="6C5F2B9C" w14:textId="77777777" w:rsidR="002B6CA8" w:rsidRDefault="000B100D" w:rsidP="002B6CA8">
      <w:pPr>
        <w:pStyle w:val="ListParagraph"/>
        <w:numPr>
          <w:ilvl w:val="0"/>
          <w:numId w:val="26"/>
        </w:numPr>
        <w:spacing w:line="240" w:lineRule="auto"/>
        <w:jc w:val="both"/>
        <w:rPr>
          <w:lang w:eastAsia="fr-FR"/>
        </w:rPr>
      </w:pPr>
      <w:r w:rsidRPr="00F002AB">
        <w:rPr>
          <w:lang w:eastAsia="fr-FR"/>
        </w:rPr>
        <w:t>Analyse comparative selon les axes : genre, région, maturité de l’entreprise, secteur d’activité.</w:t>
      </w:r>
    </w:p>
    <w:p w14:paraId="1A18EDD2" w14:textId="77777777" w:rsidR="002B6CA8" w:rsidRDefault="000B100D" w:rsidP="002B6CA8">
      <w:pPr>
        <w:pStyle w:val="ListParagraph"/>
        <w:numPr>
          <w:ilvl w:val="0"/>
          <w:numId w:val="26"/>
        </w:numPr>
        <w:spacing w:line="240" w:lineRule="auto"/>
        <w:jc w:val="both"/>
        <w:rPr>
          <w:lang w:eastAsia="fr-FR"/>
        </w:rPr>
      </w:pPr>
      <w:r w:rsidRPr="00F002AB">
        <w:rPr>
          <w:lang w:eastAsia="fr-FR"/>
        </w:rPr>
        <w:t xml:space="preserve">Identification des changements les plus significatifs (« Most </w:t>
      </w:r>
      <w:proofErr w:type="spellStart"/>
      <w:r w:rsidRPr="00F002AB">
        <w:rPr>
          <w:lang w:eastAsia="fr-FR"/>
        </w:rPr>
        <w:t>Significant</w:t>
      </w:r>
      <w:proofErr w:type="spellEnd"/>
      <w:r w:rsidRPr="00F002AB">
        <w:rPr>
          <w:lang w:eastAsia="fr-FR"/>
        </w:rPr>
        <w:t xml:space="preserve"> Changes »).</w:t>
      </w:r>
    </w:p>
    <w:p w14:paraId="4968455D" w14:textId="77777777" w:rsidR="002B6CA8" w:rsidRDefault="000B100D" w:rsidP="002B6CA8">
      <w:pPr>
        <w:pStyle w:val="ListParagraph"/>
        <w:numPr>
          <w:ilvl w:val="0"/>
          <w:numId w:val="26"/>
        </w:numPr>
        <w:spacing w:line="240" w:lineRule="auto"/>
        <w:jc w:val="both"/>
        <w:rPr>
          <w:lang w:eastAsia="fr-FR"/>
        </w:rPr>
      </w:pPr>
      <w:r w:rsidRPr="00F002AB">
        <w:rPr>
          <w:lang w:eastAsia="fr-FR"/>
        </w:rPr>
        <w:t>Validation des constats par triangulation (entre données de suivi, entretiens et documents).</w:t>
      </w:r>
    </w:p>
    <w:p w14:paraId="07E598D4" w14:textId="065F5BF5" w:rsidR="003D6B82" w:rsidRDefault="003D6B82" w:rsidP="00DE2092">
      <w:pPr>
        <w:spacing w:line="240" w:lineRule="auto"/>
        <w:jc w:val="both"/>
        <w:rPr>
          <w:lang w:eastAsia="fr-FR"/>
        </w:rPr>
      </w:pPr>
      <w:r>
        <w:rPr>
          <w:lang w:eastAsia="fr-FR"/>
        </w:rPr>
        <w:lastRenderedPageBreak/>
        <w:t>Notez que l’analyse et l’interprétation des données devra se faire conformément aux questions d’évaluation préalablement définies par l’équipe de projet NEF</w:t>
      </w:r>
      <w:r w:rsidR="00DE2092">
        <w:rPr>
          <w:lang w:eastAsia="fr-FR"/>
        </w:rPr>
        <w:t>.</w:t>
      </w:r>
      <w:r w:rsidR="00DE2092">
        <w:rPr>
          <w:rStyle w:val="FootnoteReference"/>
          <w:lang w:eastAsia="fr-FR"/>
        </w:rPr>
        <w:footnoteReference w:id="1"/>
      </w:r>
      <w:r>
        <w:rPr>
          <w:lang w:eastAsia="fr-FR"/>
        </w:rPr>
        <w:t xml:space="preserve"> </w:t>
      </w:r>
    </w:p>
    <w:p w14:paraId="4039E3D7" w14:textId="77777777" w:rsidR="000B100D" w:rsidRPr="002B6CA8" w:rsidRDefault="000B100D" w:rsidP="002B6CA8">
      <w:pPr>
        <w:spacing w:line="240" w:lineRule="auto"/>
        <w:jc w:val="both"/>
        <w:rPr>
          <w:lang w:eastAsia="fr-FR"/>
        </w:rPr>
      </w:pPr>
      <w:r w:rsidRPr="002B6CA8">
        <w:rPr>
          <w:b/>
          <w:bCs/>
          <w:lang w:eastAsia="fr-FR"/>
        </w:rPr>
        <w:t>d. Principes directeurs</w:t>
      </w:r>
    </w:p>
    <w:p w14:paraId="32DE350D" w14:textId="3050F488" w:rsidR="002B6CA8" w:rsidRPr="00F002AB" w:rsidRDefault="000B100D" w:rsidP="002B6CA8">
      <w:pPr>
        <w:spacing w:line="240" w:lineRule="auto"/>
        <w:jc w:val="both"/>
        <w:rPr>
          <w:rFonts w:ascii="Times New Roman" w:hAnsi="Times New Roman" w:cs="Times New Roman"/>
          <w:sz w:val="24"/>
          <w:szCs w:val="24"/>
          <w:lang w:eastAsia="fr-FR"/>
        </w:rPr>
      </w:pPr>
      <w:r w:rsidRPr="00F002AB">
        <w:rPr>
          <w:lang w:eastAsia="fr-FR"/>
        </w:rPr>
        <w:t>L’évaluation respectera les principes de transparence, indépendance, participation et redevabilité.</w:t>
      </w:r>
      <w:r w:rsidRPr="00F002AB">
        <w:rPr>
          <w:lang w:eastAsia="fr-FR"/>
        </w:rPr>
        <w:br/>
        <w:t>Une attention particulière sera portée à la dimension genre et inclusion, et à la prise en compte des leçons apprises pour des programmes similaires.</w:t>
      </w:r>
      <w:r w:rsidRPr="00F002AB">
        <w:rPr>
          <w:rStyle w:val="EndnoteReference"/>
          <w:rFonts w:ascii="Arial" w:eastAsia="Times New Roman" w:hAnsi="Arial" w:cs="Arial"/>
          <w:color w:val="000000"/>
          <w:kern w:val="0"/>
          <w:lang w:eastAsia="fr-FR"/>
          <w14:ligatures w14:val="none"/>
        </w:rPr>
        <w:endnoteReference w:id="1"/>
      </w:r>
    </w:p>
    <w:p w14:paraId="29CDA5B6" w14:textId="2CC1D31C" w:rsidR="002B6CA8" w:rsidRPr="002B6CA8" w:rsidRDefault="000B100D" w:rsidP="00CF5685">
      <w:pPr>
        <w:pStyle w:val="Heading2"/>
        <w:numPr>
          <w:ilvl w:val="0"/>
          <w:numId w:val="22"/>
        </w:numPr>
        <w:spacing w:after="120"/>
        <w:rPr>
          <w:lang w:eastAsia="fr-FR"/>
        </w:rPr>
      </w:pPr>
      <w:r w:rsidRPr="00F002AB">
        <w:rPr>
          <w:lang w:eastAsia="fr-FR"/>
        </w:rPr>
        <w:t>Tâches du/de la consultant(e)</w:t>
      </w:r>
    </w:p>
    <w:p w14:paraId="515B009F" w14:textId="77777777" w:rsidR="002B6CA8" w:rsidRDefault="000B100D" w:rsidP="002B6CA8">
      <w:pPr>
        <w:spacing w:line="240" w:lineRule="auto"/>
        <w:jc w:val="both"/>
        <w:rPr>
          <w:rFonts w:ascii="Times New Roman" w:hAnsi="Times New Roman" w:cs="Times New Roman"/>
          <w:sz w:val="24"/>
          <w:szCs w:val="24"/>
          <w:lang w:eastAsia="fr-FR"/>
        </w:rPr>
      </w:pPr>
      <w:r w:rsidRPr="00F002AB">
        <w:rPr>
          <w:lang w:eastAsia="fr-FR"/>
        </w:rPr>
        <w:t>Le/la consultant(e) ou l’équipe d’évaluation sera chargé(e) de :</w:t>
      </w:r>
    </w:p>
    <w:p w14:paraId="2B33B4DF" w14:textId="77777777" w:rsidR="002B6CA8" w:rsidRPr="002B6CA8" w:rsidRDefault="000B100D" w:rsidP="002B6CA8">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Prendre connaissance de la documentation du projet (cadre logique, rapports, outils d’enquête existants).</w:t>
      </w:r>
    </w:p>
    <w:p w14:paraId="79AE9212" w14:textId="77777777" w:rsidR="002B6CA8" w:rsidRPr="002B6CA8" w:rsidRDefault="000B100D" w:rsidP="002B6CA8">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 xml:space="preserve">Élaborer </w:t>
      </w:r>
      <w:r w:rsidR="007268DB">
        <w:rPr>
          <w:lang w:eastAsia="fr-FR"/>
        </w:rPr>
        <w:t>un plan de travail</w:t>
      </w:r>
      <w:r w:rsidRPr="00F002AB">
        <w:rPr>
          <w:lang w:eastAsia="fr-FR"/>
        </w:rPr>
        <w:t xml:space="preserve"> et le calendrier.</w:t>
      </w:r>
    </w:p>
    <w:p w14:paraId="3926AC2F" w14:textId="77777777" w:rsidR="002B6CA8" w:rsidRPr="002B6CA8" w:rsidRDefault="000B100D" w:rsidP="002B6CA8">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Conduire la collecte des données (entretiens, enquêtes), en coordination avec l’équipe projet de la NEF.</w:t>
      </w:r>
    </w:p>
    <w:p w14:paraId="1BA8536E" w14:textId="77777777" w:rsidR="002B6CA8" w:rsidRPr="002B6CA8" w:rsidRDefault="000B100D" w:rsidP="002B6CA8">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Analyser les données qualitatives et quantitatives et produire des tableaux de synthèse pertinents.</w:t>
      </w:r>
    </w:p>
    <w:p w14:paraId="239559F6" w14:textId="77777777" w:rsidR="002B6CA8" w:rsidRPr="007268DB" w:rsidRDefault="000B100D" w:rsidP="007268DB">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Rédiger le rapport d’évaluation finale, incluant :</w:t>
      </w:r>
      <w:r w:rsidR="007268DB">
        <w:rPr>
          <w:lang w:eastAsia="fr-FR"/>
        </w:rPr>
        <w:t xml:space="preserve"> </w:t>
      </w:r>
      <w:r w:rsidRPr="00F002AB">
        <w:rPr>
          <w:lang w:eastAsia="fr-FR"/>
        </w:rPr>
        <w:t>Les constats par critère d’évaluation,</w:t>
      </w:r>
      <w:r w:rsidR="007268DB">
        <w:rPr>
          <w:lang w:eastAsia="fr-FR"/>
        </w:rPr>
        <w:t xml:space="preserve"> l</w:t>
      </w:r>
      <w:r w:rsidRPr="00F002AB">
        <w:rPr>
          <w:lang w:eastAsia="fr-FR"/>
        </w:rPr>
        <w:t>es leçons apprises,</w:t>
      </w:r>
      <w:r w:rsidR="007268DB">
        <w:rPr>
          <w:lang w:eastAsia="fr-FR"/>
        </w:rPr>
        <w:t xml:space="preserve"> l</w:t>
      </w:r>
      <w:r w:rsidRPr="00F002AB">
        <w:rPr>
          <w:lang w:eastAsia="fr-FR"/>
        </w:rPr>
        <w:t>es bonnes pratiques et recommandations pour scalabilité.</w:t>
      </w:r>
    </w:p>
    <w:p w14:paraId="33A8F248" w14:textId="22CC9A83" w:rsidR="000B07EB" w:rsidRPr="002B6CA8" w:rsidRDefault="000B100D" w:rsidP="002B6CA8">
      <w:pPr>
        <w:pStyle w:val="ListParagraph"/>
        <w:numPr>
          <w:ilvl w:val="0"/>
          <w:numId w:val="27"/>
        </w:numPr>
        <w:spacing w:line="240" w:lineRule="auto"/>
        <w:rPr>
          <w:rFonts w:ascii="Times New Roman" w:hAnsi="Times New Roman" w:cs="Times New Roman"/>
          <w:sz w:val="24"/>
          <w:szCs w:val="24"/>
          <w:lang w:eastAsia="fr-FR"/>
        </w:rPr>
      </w:pPr>
      <w:r w:rsidRPr="00F002AB">
        <w:rPr>
          <w:lang w:eastAsia="fr-FR"/>
        </w:rPr>
        <w:t>Présenter les résultats lors d’un atelier de restitution.</w:t>
      </w:r>
    </w:p>
    <w:p w14:paraId="4CF22551" w14:textId="1E50560E" w:rsidR="000B07EB" w:rsidRPr="00F002AB" w:rsidRDefault="000B07EB" w:rsidP="00CF5685">
      <w:pPr>
        <w:pStyle w:val="Heading2"/>
        <w:numPr>
          <w:ilvl w:val="0"/>
          <w:numId w:val="22"/>
        </w:numPr>
        <w:spacing w:after="120"/>
        <w:rPr>
          <w:lang w:eastAsia="fr-FR"/>
        </w:rPr>
      </w:pPr>
      <w:r w:rsidRPr="00F002AB">
        <w:rPr>
          <w:rFonts w:eastAsia="Times New Roman"/>
          <w:lang w:eastAsia="fr-FR"/>
        </w:rPr>
        <w:t>Profil du consultant / cabinet</w:t>
      </w:r>
    </w:p>
    <w:p w14:paraId="008E7A8F" w14:textId="77777777" w:rsidR="000B07EB" w:rsidRPr="00F002AB" w:rsidRDefault="000B07EB" w:rsidP="002B6CA8">
      <w:pPr>
        <w:spacing w:line="240" w:lineRule="auto"/>
        <w:jc w:val="both"/>
        <w:rPr>
          <w:lang w:eastAsia="fr-FR"/>
        </w:rPr>
      </w:pPr>
      <w:r w:rsidRPr="00F002AB">
        <w:rPr>
          <w:lang w:eastAsia="fr-FR"/>
        </w:rPr>
        <w:t>Le consultant ou cabinet devra répondre aux critères suivants :</w:t>
      </w:r>
    </w:p>
    <w:p w14:paraId="7500632A" w14:textId="77777777" w:rsidR="002B6CA8" w:rsidRPr="007268DB" w:rsidRDefault="000B07EB" w:rsidP="007268DB">
      <w:pPr>
        <w:pStyle w:val="ListParagraph"/>
        <w:numPr>
          <w:ilvl w:val="0"/>
          <w:numId w:val="28"/>
        </w:numPr>
        <w:spacing w:line="240" w:lineRule="auto"/>
        <w:jc w:val="both"/>
        <w:rPr>
          <w:rFonts w:ascii="Times New Roman" w:hAnsi="Times New Roman" w:cs="Times New Roman"/>
          <w:sz w:val="24"/>
          <w:szCs w:val="24"/>
          <w:lang w:eastAsia="fr-FR"/>
        </w:rPr>
      </w:pPr>
      <w:r w:rsidRPr="00F002AB">
        <w:rPr>
          <w:lang w:eastAsia="fr-FR"/>
        </w:rPr>
        <w:t>Formation supérieure (Bac +5 minimum) en économie du développement, sciences sociales, genre, entreprenariat ou domaine connexe ;</w:t>
      </w:r>
    </w:p>
    <w:p w14:paraId="2AE92A56" w14:textId="77777777" w:rsidR="002B6CA8" w:rsidRPr="007268DB" w:rsidRDefault="000B07EB" w:rsidP="007268DB">
      <w:pPr>
        <w:pStyle w:val="ListParagraph"/>
        <w:numPr>
          <w:ilvl w:val="0"/>
          <w:numId w:val="28"/>
        </w:numPr>
        <w:spacing w:line="240" w:lineRule="auto"/>
        <w:jc w:val="both"/>
        <w:rPr>
          <w:rFonts w:ascii="Times New Roman" w:hAnsi="Times New Roman" w:cs="Times New Roman"/>
          <w:sz w:val="24"/>
          <w:szCs w:val="24"/>
          <w:lang w:eastAsia="fr-FR"/>
        </w:rPr>
      </w:pPr>
      <w:r w:rsidRPr="00F002AB">
        <w:rPr>
          <w:lang w:eastAsia="fr-FR"/>
        </w:rPr>
        <w:t>Expérience confirmée dans l’évaluation de projets de développement, particulièrement ceux axés sur l’autonomisation économique, les coopératives ou l’entrepreneuriat féminin ;</w:t>
      </w:r>
    </w:p>
    <w:p w14:paraId="4E09EFCC" w14:textId="77777777" w:rsidR="000B07EB" w:rsidRPr="007268DB" w:rsidRDefault="000B07EB" w:rsidP="007268DB">
      <w:pPr>
        <w:pStyle w:val="ListParagraph"/>
        <w:numPr>
          <w:ilvl w:val="0"/>
          <w:numId w:val="28"/>
        </w:numPr>
        <w:spacing w:line="240" w:lineRule="auto"/>
        <w:jc w:val="both"/>
        <w:rPr>
          <w:rFonts w:ascii="Times New Roman" w:hAnsi="Times New Roman" w:cs="Times New Roman"/>
          <w:sz w:val="24"/>
          <w:szCs w:val="24"/>
          <w:lang w:eastAsia="fr-FR"/>
        </w:rPr>
      </w:pPr>
      <w:r w:rsidRPr="00F002AB">
        <w:rPr>
          <w:lang w:eastAsia="fr-FR"/>
        </w:rPr>
        <w:t>Maîtrise des approches d’évaluation qualitative et quantitative ;</w:t>
      </w:r>
    </w:p>
    <w:p w14:paraId="6E4134AE" w14:textId="77777777" w:rsidR="000B07EB" w:rsidRPr="00F002AB" w:rsidRDefault="000B07EB" w:rsidP="007268DB">
      <w:pPr>
        <w:pStyle w:val="ListParagraph"/>
        <w:numPr>
          <w:ilvl w:val="0"/>
          <w:numId w:val="28"/>
        </w:numPr>
        <w:spacing w:line="240" w:lineRule="auto"/>
        <w:jc w:val="both"/>
        <w:rPr>
          <w:lang w:eastAsia="fr-FR"/>
        </w:rPr>
      </w:pPr>
      <w:r w:rsidRPr="00F002AB">
        <w:rPr>
          <w:lang w:eastAsia="fr-FR"/>
        </w:rPr>
        <w:t>Solide capacité d’analyse, de synthèse et de rédaction ;</w:t>
      </w:r>
    </w:p>
    <w:p w14:paraId="568EF3AA" w14:textId="77777777" w:rsidR="000B07EB" w:rsidRPr="00F002AB" w:rsidRDefault="000B07EB" w:rsidP="007268DB">
      <w:pPr>
        <w:pStyle w:val="ListParagraph"/>
        <w:numPr>
          <w:ilvl w:val="0"/>
          <w:numId w:val="28"/>
        </w:numPr>
        <w:spacing w:line="240" w:lineRule="auto"/>
        <w:jc w:val="both"/>
        <w:rPr>
          <w:lang w:eastAsia="fr-FR"/>
        </w:rPr>
      </w:pPr>
      <w:r w:rsidRPr="00F002AB">
        <w:rPr>
          <w:lang w:eastAsia="fr-FR"/>
        </w:rPr>
        <w:t>Bonne connaissance du contexte rural marocain et expérience de travail avec des groupes de femmes ;</w:t>
      </w:r>
    </w:p>
    <w:p w14:paraId="7916426F" w14:textId="0B020EFC" w:rsidR="007268DB" w:rsidRPr="007268DB" w:rsidRDefault="000B07EB" w:rsidP="00CF5685">
      <w:pPr>
        <w:pStyle w:val="ListParagraph"/>
        <w:numPr>
          <w:ilvl w:val="0"/>
          <w:numId w:val="28"/>
        </w:numPr>
        <w:spacing w:line="240" w:lineRule="auto"/>
        <w:jc w:val="both"/>
        <w:rPr>
          <w:lang w:eastAsia="fr-FR"/>
        </w:rPr>
      </w:pPr>
      <w:r w:rsidRPr="00F002AB">
        <w:rPr>
          <w:lang w:eastAsia="fr-FR"/>
        </w:rPr>
        <w:t>Maîtrise du français et l’arabe à l’écrit et à l’oral, l’anglais est désirable.</w:t>
      </w:r>
    </w:p>
    <w:p w14:paraId="1ABA3211" w14:textId="6905A05A" w:rsidR="007268DB" w:rsidRPr="008212D2" w:rsidRDefault="007268DB" w:rsidP="00CF5685">
      <w:pPr>
        <w:pStyle w:val="Heading2"/>
        <w:numPr>
          <w:ilvl w:val="0"/>
          <w:numId w:val="22"/>
        </w:numPr>
        <w:spacing w:after="120"/>
        <w:rPr>
          <w:lang w:eastAsia="fr-FR"/>
        </w:rPr>
      </w:pPr>
      <w:r w:rsidRPr="00BC6153">
        <w:rPr>
          <w:rFonts w:eastAsia="Times New Roman"/>
          <w:lang w:eastAsia="fr-FR"/>
        </w:rPr>
        <w:t>Livrables attendus</w:t>
      </w:r>
    </w:p>
    <w:p w14:paraId="741F800D" w14:textId="77777777" w:rsidR="007268DB" w:rsidRPr="00BC6153" w:rsidRDefault="007268DB" w:rsidP="007268DB">
      <w:pPr>
        <w:pStyle w:val="ListParagraph"/>
        <w:numPr>
          <w:ilvl w:val="0"/>
          <w:numId w:val="13"/>
        </w:numPr>
        <w:rPr>
          <w:lang w:eastAsia="fr-FR"/>
        </w:rPr>
      </w:pPr>
      <w:r>
        <w:rPr>
          <w:lang w:eastAsia="fr-FR"/>
        </w:rPr>
        <w:t>Plan</w:t>
      </w:r>
      <w:r w:rsidRPr="00BC6153">
        <w:rPr>
          <w:lang w:eastAsia="fr-FR"/>
        </w:rPr>
        <w:t xml:space="preserve"> de travail ;</w:t>
      </w:r>
    </w:p>
    <w:p w14:paraId="778076AB" w14:textId="77777777" w:rsidR="007268DB" w:rsidRPr="00BC6153" w:rsidRDefault="007268DB" w:rsidP="007268DB">
      <w:pPr>
        <w:pStyle w:val="ListParagraph"/>
        <w:numPr>
          <w:ilvl w:val="0"/>
          <w:numId w:val="13"/>
        </w:numPr>
        <w:rPr>
          <w:lang w:eastAsia="fr-FR"/>
        </w:rPr>
      </w:pPr>
      <w:r w:rsidRPr="00BC6153">
        <w:rPr>
          <w:lang w:eastAsia="fr-FR"/>
        </w:rPr>
        <w:t>Rapport provisoire d’évaluation ;</w:t>
      </w:r>
    </w:p>
    <w:p w14:paraId="16557962" w14:textId="77777777" w:rsidR="007268DB" w:rsidRPr="00BC6153" w:rsidRDefault="007268DB" w:rsidP="007268DB">
      <w:pPr>
        <w:pStyle w:val="ListParagraph"/>
        <w:numPr>
          <w:ilvl w:val="0"/>
          <w:numId w:val="13"/>
        </w:numPr>
        <w:rPr>
          <w:lang w:eastAsia="fr-FR"/>
        </w:rPr>
      </w:pPr>
      <w:r w:rsidRPr="00BC6153">
        <w:rPr>
          <w:lang w:eastAsia="fr-FR"/>
        </w:rPr>
        <w:t>Présentation de restitution ;</w:t>
      </w:r>
    </w:p>
    <w:p w14:paraId="6E009620" w14:textId="17E58F7D" w:rsidR="007268DB" w:rsidRDefault="007268DB" w:rsidP="00CF5685">
      <w:pPr>
        <w:pStyle w:val="ListParagraph"/>
        <w:numPr>
          <w:ilvl w:val="0"/>
          <w:numId w:val="13"/>
        </w:numPr>
        <w:rPr>
          <w:lang w:eastAsia="fr-FR"/>
        </w:rPr>
      </w:pPr>
      <w:r w:rsidRPr="00BC6153">
        <w:rPr>
          <w:lang w:eastAsia="fr-FR"/>
        </w:rPr>
        <w:t>Rapport final validé (version PDF et Word).</w:t>
      </w:r>
    </w:p>
    <w:p w14:paraId="4BA89F62" w14:textId="5CBE6C60" w:rsidR="007268DB" w:rsidRPr="00CF5685" w:rsidRDefault="007268DB" w:rsidP="00CF5685">
      <w:pPr>
        <w:pStyle w:val="Heading2"/>
        <w:numPr>
          <w:ilvl w:val="0"/>
          <w:numId w:val="22"/>
        </w:numPr>
        <w:spacing w:after="120"/>
        <w:rPr>
          <w:sz w:val="16"/>
          <w:szCs w:val="16"/>
          <w:lang w:eastAsia="fr-FR"/>
        </w:rPr>
      </w:pPr>
      <w:r>
        <w:rPr>
          <w:lang w:eastAsia="fr-FR"/>
        </w:rPr>
        <w:t>Constitution de l’Offre</w:t>
      </w:r>
    </w:p>
    <w:p w14:paraId="1EF75343" w14:textId="77777777" w:rsidR="007268DB" w:rsidRDefault="007268DB" w:rsidP="007268DB">
      <w:pPr>
        <w:rPr>
          <w:lang w:eastAsia="fr-FR"/>
        </w:rPr>
      </w:pPr>
      <w:r>
        <w:rPr>
          <w:lang w:eastAsia="fr-FR"/>
        </w:rPr>
        <w:t>L’offre est composée de deux ensembles séparés :</w:t>
      </w:r>
    </w:p>
    <w:p w14:paraId="1141F0F5" w14:textId="77777777" w:rsidR="007268DB" w:rsidRDefault="007268DB" w:rsidP="007268DB">
      <w:pPr>
        <w:pStyle w:val="ListParagraph"/>
        <w:numPr>
          <w:ilvl w:val="0"/>
          <w:numId w:val="14"/>
        </w:numPr>
        <w:rPr>
          <w:lang w:eastAsia="fr-FR"/>
        </w:rPr>
      </w:pPr>
      <w:r>
        <w:rPr>
          <w:lang w:eastAsia="fr-FR"/>
        </w:rPr>
        <w:t>La proposition technique ;</w:t>
      </w:r>
    </w:p>
    <w:p w14:paraId="29C5A2A6" w14:textId="77777777" w:rsidR="007268DB" w:rsidRDefault="007268DB" w:rsidP="007268DB">
      <w:pPr>
        <w:pStyle w:val="ListParagraph"/>
        <w:numPr>
          <w:ilvl w:val="0"/>
          <w:numId w:val="14"/>
        </w:numPr>
        <w:rPr>
          <w:lang w:eastAsia="fr-FR"/>
        </w:rPr>
      </w:pPr>
      <w:r>
        <w:rPr>
          <w:lang w:eastAsia="fr-FR"/>
        </w:rPr>
        <w:t>La proposition financière.</w:t>
      </w:r>
    </w:p>
    <w:p w14:paraId="1DFD8443" w14:textId="77777777" w:rsidR="007268DB" w:rsidRDefault="007268DB" w:rsidP="007268DB">
      <w:pPr>
        <w:rPr>
          <w:lang w:eastAsia="fr-FR"/>
        </w:rPr>
      </w:pPr>
      <w:r>
        <w:rPr>
          <w:lang w:eastAsia="fr-FR"/>
        </w:rPr>
        <w:t>La proposition technique doit comporter :</w:t>
      </w:r>
    </w:p>
    <w:p w14:paraId="21C7BC88" w14:textId="77777777" w:rsidR="007268DB" w:rsidRDefault="007268DB" w:rsidP="007268DB">
      <w:pPr>
        <w:pStyle w:val="ListParagraph"/>
        <w:numPr>
          <w:ilvl w:val="0"/>
          <w:numId w:val="15"/>
        </w:numPr>
        <w:rPr>
          <w:lang w:eastAsia="fr-FR"/>
        </w:rPr>
      </w:pPr>
      <w:r>
        <w:rPr>
          <w:lang w:eastAsia="fr-FR"/>
        </w:rPr>
        <w:t>La compréhension de la mission ;</w:t>
      </w:r>
    </w:p>
    <w:p w14:paraId="06987E1C" w14:textId="77777777" w:rsidR="007268DB" w:rsidRDefault="007268DB" w:rsidP="007268DB">
      <w:pPr>
        <w:pStyle w:val="ListParagraph"/>
        <w:numPr>
          <w:ilvl w:val="0"/>
          <w:numId w:val="15"/>
        </w:numPr>
        <w:rPr>
          <w:lang w:eastAsia="fr-FR"/>
        </w:rPr>
      </w:pPr>
      <w:r>
        <w:rPr>
          <w:lang w:eastAsia="fr-FR"/>
        </w:rPr>
        <w:t>La méthodologie proposée ;</w:t>
      </w:r>
    </w:p>
    <w:p w14:paraId="232A9D57" w14:textId="77777777" w:rsidR="007268DB" w:rsidRDefault="007268DB" w:rsidP="007268DB">
      <w:pPr>
        <w:pStyle w:val="ListParagraph"/>
        <w:numPr>
          <w:ilvl w:val="0"/>
          <w:numId w:val="15"/>
        </w:numPr>
        <w:rPr>
          <w:lang w:eastAsia="fr-FR"/>
        </w:rPr>
      </w:pPr>
      <w:r>
        <w:rPr>
          <w:lang w:eastAsia="fr-FR"/>
        </w:rPr>
        <w:t>La liste et les CV de l’ensemble du personnel composant l’équipe d’évaluation.</w:t>
      </w:r>
    </w:p>
    <w:p w14:paraId="34E2C9AE" w14:textId="77777777" w:rsidR="007268DB" w:rsidRDefault="007268DB" w:rsidP="007268DB">
      <w:pPr>
        <w:jc w:val="both"/>
        <w:rPr>
          <w:lang w:eastAsia="fr-FR"/>
        </w:rPr>
      </w:pPr>
      <w:r>
        <w:rPr>
          <w:lang w:eastAsia="fr-FR"/>
        </w:rPr>
        <w:t>L’offre financière doit comporter le devis estimatif (TTC), paraphé sur toutes les pages signé et daté à la dernière page. Elle doit prendre en compte les honoraires, le per diem, le rapport.</w:t>
      </w:r>
    </w:p>
    <w:p w14:paraId="14009790" w14:textId="10508109" w:rsidR="00BE1EFB" w:rsidRDefault="007268DB" w:rsidP="007268DB">
      <w:pPr>
        <w:jc w:val="both"/>
        <w:rPr>
          <w:lang w:eastAsia="fr-FR"/>
        </w:rPr>
      </w:pPr>
      <w:r>
        <w:rPr>
          <w:lang w:eastAsia="fr-FR"/>
        </w:rPr>
        <w:lastRenderedPageBreak/>
        <w:t xml:space="preserve">Les autres frais relatifs à la prise en charge du transport, de la location de la salle, des matériels didactiques et fournitures ne font pas partie du devis du prestataire. Les coûts relatifs à l’hébergement et à la restauration dans la zone du projet seront retenus sur les per diem </w:t>
      </w:r>
      <w:proofErr w:type="spellStart"/>
      <w:r>
        <w:rPr>
          <w:lang w:eastAsia="fr-FR"/>
        </w:rPr>
        <w:t>dûs</w:t>
      </w:r>
      <w:proofErr w:type="spellEnd"/>
      <w:r>
        <w:rPr>
          <w:lang w:eastAsia="fr-FR"/>
        </w:rPr>
        <w:t xml:space="preserve"> aux consultants.</w:t>
      </w:r>
    </w:p>
    <w:p w14:paraId="7D02628D" w14:textId="5E1602BE" w:rsidR="00BE1EFB" w:rsidRDefault="00BE1EFB" w:rsidP="00CF5685">
      <w:pPr>
        <w:pStyle w:val="Heading2"/>
        <w:numPr>
          <w:ilvl w:val="0"/>
          <w:numId w:val="22"/>
        </w:numPr>
        <w:spacing w:after="120"/>
        <w:rPr>
          <w:lang w:eastAsia="fr-FR"/>
        </w:rPr>
      </w:pPr>
      <w:r>
        <w:rPr>
          <w:lang w:eastAsia="fr-FR"/>
        </w:rPr>
        <w:t>Critères d’évaluation et modalité de notation des offres</w:t>
      </w:r>
    </w:p>
    <w:p w14:paraId="76CFA675" w14:textId="77777777" w:rsidR="00BE1EFB" w:rsidRPr="00BE1EFB" w:rsidRDefault="00BE1EFB" w:rsidP="00CF5685">
      <w:r w:rsidRPr="00BE1EFB">
        <w:rPr>
          <w:lang w:eastAsia="fr-FR"/>
        </w:rPr>
        <w:t>Les propositions reçues seront évaluées par un comité de sélection sur la base d’une analyse comparative technique et financière, selon une grille de notation standardisée. L’attribution du marché se fera selon le principe de la meilleure offre présentant le meilleur rapport qualité-prix.</w:t>
      </w:r>
    </w:p>
    <w:p w14:paraId="63FA7F29" w14:textId="77777777" w:rsidR="00BE1EFB" w:rsidRPr="00CF5685" w:rsidRDefault="00BE1EFB" w:rsidP="00CF5685">
      <w:pPr>
        <w:rPr>
          <w:lang w:eastAsia="fr-FR"/>
        </w:rPr>
      </w:pPr>
      <w:r w:rsidRPr="00CF5685">
        <w:rPr>
          <w:lang w:eastAsia="fr-FR"/>
        </w:rPr>
        <w:t xml:space="preserve">L’évaluation reposera sur </w:t>
      </w:r>
      <w:r w:rsidRPr="00CF5685">
        <w:rPr>
          <w:b/>
          <w:bCs/>
          <w:lang w:eastAsia="fr-FR"/>
        </w:rPr>
        <w:t>un total de 100 points</w:t>
      </w:r>
      <w:r w:rsidRPr="00CF5685">
        <w:rPr>
          <w:lang w:eastAsia="fr-FR"/>
        </w:rPr>
        <w:t>, répartis comme suit :</w:t>
      </w:r>
    </w:p>
    <w:p w14:paraId="1BED37C4" w14:textId="783CE18E" w:rsidR="00BE1EFB" w:rsidRPr="00CF5685" w:rsidRDefault="00BE1EFB" w:rsidP="00CF5685">
      <w:pPr>
        <w:rPr>
          <w:b/>
          <w:bCs/>
          <w:lang w:eastAsia="fr-FR"/>
        </w:rPr>
      </w:pPr>
      <w:r w:rsidRPr="00CF5685">
        <w:rPr>
          <w:b/>
          <w:bCs/>
          <w:lang w:eastAsia="fr-FR"/>
        </w:rPr>
        <w:t>1. Qualité technique globale : 75 points</w:t>
      </w:r>
    </w:p>
    <w:p w14:paraId="768114F2" w14:textId="28273EE9" w:rsidR="00BE1EFB" w:rsidRPr="00CF5685" w:rsidRDefault="00BE1EFB" w:rsidP="00BE1EFB">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Compréhension de la mission et pertinence de l’approche proposée : 25 points</w:t>
      </w:r>
    </w:p>
    <w:p w14:paraId="510D7156" w14:textId="3605DA2E" w:rsidR="00BE1EFB" w:rsidRPr="00CF5685" w:rsidRDefault="00BE1EFB" w:rsidP="00BE1EFB">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Qualité de la méthodologie et rigueur analytique : 30 points</w:t>
      </w:r>
    </w:p>
    <w:p w14:paraId="0BC1DFF7" w14:textId="77777777" w:rsidR="00BE1EFB" w:rsidRPr="00CF5685" w:rsidRDefault="00BE1EFB" w:rsidP="00BE1EFB">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Plan de travail, calendrier et faisabilité opérationnelle : 10 points</w:t>
      </w:r>
    </w:p>
    <w:p w14:paraId="27B9B38A" w14:textId="77777777" w:rsidR="00BE1EFB" w:rsidRPr="00CF5685" w:rsidRDefault="00BE1EFB" w:rsidP="00BE1EFB">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Expérience, expertise et complémentarité de l’équipe proposée : 10 points</w:t>
      </w:r>
    </w:p>
    <w:p w14:paraId="1A298070" w14:textId="35516A0C" w:rsidR="00BE1EFB" w:rsidRPr="00CF5685" w:rsidRDefault="00BE1EFB" w:rsidP="00CF5685">
      <w:pPr>
        <w:rPr>
          <w:b/>
          <w:bCs/>
          <w:lang w:eastAsia="fr-FR"/>
        </w:rPr>
      </w:pPr>
      <w:r w:rsidRPr="00CF5685">
        <w:rPr>
          <w:b/>
          <w:bCs/>
          <w:lang w:eastAsia="fr-FR"/>
        </w:rPr>
        <w:t>2. Rapport coût-efficacité : 25 points</w:t>
      </w:r>
    </w:p>
    <w:p w14:paraId="45311138" w14:textId="77777777" w:rsidR="00BE1EFB" w:rsidRPr="00CF5685" w:rsidRDefault="00BE1EFB" w:rsidP="00CF5685">
      <w:pPr>
        <w:rPr>
          <w:lang w:eastAsia="fr-FR"/>
        </w:rPr>
      </w:pPr>
      <w:r w:rsidRPr="00CF5685">
        <w:rPr>
          <w:lang w:eastAsia="fr-FR"/>
        </w:rPr>
        <w:t>Cette composante évaluera dans quelle mesure la proposition offre la meilleure valeur ajoutée au regard des ressources mobilisées, notamment :</w:t>
      </w:r>
    </w:p>
    <w:p w14:paraId="066E6498" w14:textId="77777777" w:rsidR="00BE1EFB" w:rsidRPr="00CF5685" w:rsidRDefault="00BE1EFB" w:rsidP="00CF5685">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La cohérence entre le budget proposé et la méthodologie présentée</w:t>
      </w:r>
    </w:p>
    <w:p w14:paraId="5415C720" w14:textId="77777777" w:rsidR="00BE1EFB" w:rsidRPr="00CF5685" w:rsidRDefault="00BE1EFB" w:rsidP="00CF5685">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La justification des coûts par rapport aux livrables attendus</w:t>
      </w:r>
    </w:p>
    <w:p w14:paraId="62850165" w14:textId="77777777" w:rsidR="00BE1EFB" w:rsidRPr="00CF5685" w:rsidRDefault="00BE1EFB" w:rsidP="00CF5685">
      <w:pPr>
        <w:numPr>
          <w:ilvl w:val="0"/>
          <w:numId w:val="43"/>
        </w:numPr>
        <w:spacing w:before="100" w:beforeAutospacing="1" w:after="100" w:afterAutospacing="1" w:line="240" w:lineRule="auto"/>
        <w:rPr>
          <w:rFonts w:eastAsia="Times New Roman" w:cstheme="minorHAnsi"/>
          <w:kern w:val="0"/>
          <w14:ligatures w14:val="none"/>
        </w:rPr>
      </w:pPr>
      <w:r w:rsidRPr="00CF5685">
        <w:rPr>
          <w:rFonts w:eastAsia="Times New Roman" w:cstheme="minorHAnsi"/>
          <w:kern w:val="0"/>
          <w14:ligatures w14:val="none"/>
        </w:rPr>
        <w:t>L’optimisation des ressources sans compromis sur la qualité et la rigueur de l’évaluation</w:t>
      </w:r>
    </w:p>
    <w:p w14:paraId="27FE6F1E" w14:textId="3F034A93" w:rsidR="007268DB" w:rsidRDefault="00BE1EFB" w:rsidP="00CF5685">
      <w:pPr>
        <w:rPr>
          <w:lang w:eastAsia="fr-FR"/>
        </w:rPr>
      </w:pPr>
      <w:r w:rsidRPr="00CF5685">
        <w:rPr>
          <w:lang w:eastAsia="fr-FR"/>
        </w:rPr>
        <w:t>La sélection ne sera pas basée sur l’offre la moins chère, mais sur celle démontrant le meilleur équilibre entre qualité technique et efficience budgétaire, garantissant un haut niveau de crédibilité et de robustesse méthodologique.</w:t>
      </w:r>
    </w:p>
    <w:p w14:paraId="0E75BA6E" w14:textId="7B72E7CB" w:rsidR="007268DB" w:rsidRPr="00D9103B" w:rsidRDefault="007268DB" w:rsidP="00CF5685">
      <w:pPr>
        <w:pStyle w:val="Heading2"/>
        <w:numPr>
          <w:ilvl w:val="0"/>
          <w:numId w:val="22"/>
        </w:numPr>
        <w:spacing w:after="120"/>
        <w:rPr>
          <w:lang w:eastAsia="fr-FR"/>
        </w:rPr>
      </w:pPr>
      <w:r>
        <w:rPr>
          <w:lang w:eastAsia="fr-FR"/>
        </w:rPr>
        <w:t>Etapes et calendrier de l’Évaluation</w:t>
      </w:r>
    </w:p>
    <w:p w14:paraId="557DB7D8" w14:textId="77777777" w:rsidR="007268DB" w:rsidRDefault="007268DB" w:rsidP="007268DB">
      <w:pPr>
        <w:rPr>
          <w:lang w:eastAsia="fr-FR"/>
        </w:rPr>
      </w:pPr>
      <w:r>
        <w:rPr>
          <w:lang w:eastAsia="fr-FR"/>
        </w:rPr>
        <w:t>Le nombre maximal attendu de jours d’expertise est estimé à vingt (25) jours répartis comme suit :</w:t>
      </w:r>
    </w:p>
    <w:p w14:paraId="5302C7EA" w14:textId="77777777" w:rsidR="007268DB" w:rsidRDefault="007268DB" w:rsidP="007268DB">
      <w:pPr>
        <w:pStyle w:val="ListParagraph"/>
        <w:numPr>
          <w:ilvl w:val="0"/>
          <w:numId w:val="16"/>
        </w:numPr>
        <w:rPr>
          <w:lang w:eastAsia="fr-FR"/>
        </w:rPr>
      </w:pPr>
      <w:r>
        <w:rPr>
          <w:lang w:eastAsia="fr-FR"/>
        </w:rPr>
        <w:t>Quatre (4) jours de cadrage, l’élaboration du plan, la revue des documents de projets et des outils de collecte ;</w:t>
      </w:r>
    </w:p>
    <w:p w14:paraId="2CBC2BCF" w14:textId="77777777" w:rsidR="007268DB" w:rsidRDefault="007268DB" w:rsidP="007268DB">
      <w:pPr>
        <w:pStyle w:val="ListParagraph"/>
        <w:numPr>
          <w:ilvl w:val="0"/>
          <w:numId w:val="16"/>
        </w:numPr>
        <w:rPr>
          <w:lang w:eastAsia="fr-FR"/>
        </w:rPr>
      </w:pPr>
      <w:r>
        <w:rPr>
          <w:lang w:eastAsia="fr-FR"/>
        </w:rPr>
        <w:t>Huit (12) jours de collecte des données sur le terrain ;</w:t>
      </w:r>
    </w:p>
    <w:p w14:paraId="49E968D5" w14:textId="77777777" w:rsidR="007268DB" w:rsidRDefault="007268DB" w:rsidP="007268DB">
      <w:pPr>
        <w:pStyle w:val="ListParagraph"/>
        <w:numPr>
          <w:ilvl w:val="0"/>
          <w:numId w:val="16"/>
        </w:numPr>
        <w:rPr>
          <w:lang w:eastAsia="fr-FR"/>
        </w:rPr>
      </w:pPr>
      <w:r>
        <w:rPr>
          <w:lang w:eastAsia="fr-FR"/>
        </w:rPr>
        <w:t>Cinq (6) jours de traitement et d’analyse des données et rédaction du rapport provisoire ;</w:t>
      </w:r>
    </w:p>
    <w:p w14:paraId="1A679BE8" w14:textId="77777777" w:rsidR="007268DB" w:rsidRDefault="007268DB" w:rsidP="007268DB">
      <w:pPr>
        <w:pStyle w:val="ListParagraph"/>
        <w:numPr>
          <w:ilvl w:val="0"/>
          <w:numId w:val="16"/>
        </w:numPr>
        <w:rPr>
          <w:lang w:eastAsia="fr-FR"/>
        </w:rPr>
      </w:pPr>
      <w:r>
        <w:rPr>
          <w:lang w:eastAsia="fr-FR"/>
        </w:rPr>
        <w:t xml:space="preserve">Un (1) jour pour la restitution des résultats et conclusions de </w:t>
      </w:r>
      <w:proofErr w:type="gramStart"/>
      <w:r>
        <w:rPr>
          <w:lang w:eastAsia="fr-FR"/>
        </w:rPr>
        <w:t>l’évaluation;</w:t>
      </w:r>
      <w:proofErr w:type="gramEnd"/>
    </w:p>
    <w:p w14:paraId="13D4D5AC" w14:textId="77777777" w:rsidR="007268DB" w:rsidRDefault="007268DB" w:rsidP="007268DB">
      <w:pPr>
        <w:pStyle w:val="ListParagraph"/>
        <w:numPr>
          <w:ilvl w:val="0"/>
          <w:numId w:val="16"/>
        </w:numPr>
        <w:rPr>
          <w:lang w:eastAsia="fr-FR"/>
        </w:rPr>
      </w:pPr>
      <w:r>
        <w:rPr>
          <w:lang w:eastAsia="fr-FR"/>
        </w:rPr>
        <w:t>Deux (2) jours pour la production du rapport final.</w:t>
      </w:r>
    </w:p>
    <w:p w14:paraId="4C1C2570" w14:textId="0233596D" w:rsidR="007268DB" w:rsidRDefault="007268DB" w:rsidP="007268DB">
      <w:pPr>
        <w:rPr>
          <w:lang w:eastAsia="fr-FR"/>
        </w:rPr>
      </w:pPr>
      <w:r w:rsidRPr="00CF5685">
        <w:rPr>
          <w:b/>
          <w:bCs/>
          <w:lang w:eastAsia="fr-FR"/>
        </w:rPr>
        <w:t>Les activités d’évaluation devront débuter au plus tard le 15 décembre 2025</w:t>
      </w:r>
      <w:r>
        <w:rPr>
          <w:lang w:eastAsia="fr-FR"/>
        </w:rPr>
        <w:t>.</w:t>
      </w:r>
    </w:p>
    <w:p w14:paraId="7D4A0B82" w14:textId="06FA55AF" w:rsidR="007268DB" w:rsidRPr="00D9103B" w:rsidRDefault="007268DB" w:rsidP="00CF5685">
      <w:pPr>
        <w:pStyle w:val="Heading2"/>
        <w:numPr>
          <w:ilvl w:val="0"/>
          <w:numId w:val="22"/>
        </w:numPr>
        <w:spacing w:after="120"/>
        <w:rPr>
          <w:lang w:eastAsia="fr-FR"/>
        </w:rPr>
      </w:pPr>
      <w:r>
        <w:rPr>
          <w:lang w:eastAsia="fr-FR"/>
        </w:rPr>
        <w:t>Procédures de recrutement du Consultant (expertise nationale uniquement)</w:t>
      </w:r>
    </w:p>
    <w:p w14:paraId="47627593" w14:textId="77777777" w:rsidR="009D22A2" w:rsidRDefault="007268DB" w:rsidP="007268DB">
      <w:pPr>
        <w:jc w:val="both"/>
        <w:rPr>
          <w:lang w:eastAsia="fr-FR"/>
        </w:rPr>
      </w:pPr>
      <w:r>
        <w:rPr>
          <w:lang w:eastAsia="fr-FR"/>
        </w:rPr>
        <w:t xml:space="preserve">La diffusion de cet appel d’offre et le recrutement du consultant se feront sur une base ouverte au grand public. Il est attendu le recrutement d’un consultant national ou d’une équipe de consultants nationaux uniquement. </w:t>
      </w:r>
    </w:p>
    <w:p w14:paraId="48E12E0E" w14:textId="26038DF5" w:rsidR="009B5C84" w:rsidRDefault="009D22A2" w:rsidP="009B5C84">
      <w:pPr>
        <w:pStyle w:val="NormalWeb"/>
        <w:shd w:val="clear" w:color="auto" w:fill="FFFFFF"/>
        <w:spacing w:before="0" w:beforeAutospacing="0" w:after="0" w:afterAutospacing="0"/>
        <w:jc w:val="both"/>
        <w:textAlignment w:val="baseline"/>
        <w:rPr>
          <w:rFonts w:asciiTheme="minorHAnsi" w:hAnsiTheme="minorHAnsi" w:cstheme="minorHAnsi"/>
          <w:color w:val="38312F"/>
          <w:bdr w:val="none" w:sz="0" w:space="0" w:color="auto" w:frame="1"/>
        </w:rPr>
      </w:pPr>
      <w:r w:rsidRPr="00CF5685">
        <w:rPr>
          <w:rFonts w:asciiTheme="minorHAnsi" w:hAnsiTheme="minorHAnsi" w:cstheme="minorHAnsi"/>
          <w:color w:val="38312F"/>
          <w:bdr w:val="none" w:sz="0" w:space="0" w:color="auto" w:frame="1"/>
        </w:rPr>
        <w:t xml:space="preserve">Les candidats intéressés sont encouragés à postuler dès que possible avant </w:t>
      </w:r>
      <w:r>
        <w:rPr>
          <w:rFonts w:asciiTheme="minorHAnsi" w:hAnsiTheme="minorHAnsi" w:cstheme="minorHAnsi"/>
          <w:color w:val="38312F"/>
          <w:bdr w:val="none" w:sz="0" w:space="0" w:color="auto" w:frame="1"/>
        </w:rPr>
        <w:t xml:space="preserve">le </w:t>
      </w:r>
      <w:r w:rsidR="009B5C84">
        <w:rPr>
          <w:rFonts w:asciiTheme="minorHAnsi" w:hAnsiTheme="minorHAnsi" w:cstheme="minorHAnsi"/>
          <w:b/>
          <w:bCs/>
          <w:color w:val="38312F"/>
          <w:bdr w:val="none" w:sz="0" w:space="0" w:color="auto" w:frame="1"/>
        </w:rPr>
        <w:t>6</w:t>
      </w:r>
      <w:r w:rsidRPr="00CF5685">
        <w:rPr>
          <w:rFonts w:asciiTheme="minorHAnsi" w:hAnsiTheme="minorHAnsi" w:cstheme="minorHAnsi"/>
          <w:b/>
          <w:bCs/>
          <w:color w:val="38312F"/>
          <w:bdr w:val="none" w:sz="0" w:space="0" w:color="auto" w:frame="1"/>
        </w:rPr>
        <w:t xml:space="preserve"> décembre 2025</w:t>
      </w:r>
      <w:r w:rsidR="009B5C84">
        <w:rPr>
          <w:rFonts w:asciiTheme="minorHAnsi" w:hAnsiTheme="minorHAnsi" w:cstheme="minorHAnsi"/>
          <w:b/>
          <w:bCs/>
          <w:color w:val="38312F"/>
          <w:bdr w:val="none" w:sz="0" w:space="0" w:color="auto" w:frame="1"/>
        </w:rPr>
        <w:t xml:space="preserve">, </w:t>
      </w:r>
      <w:r w:rsidR="009B5C84" w:rsidRPr="009B5C84">
        <w:rPr>
          <w:rFonts w:asciiTheme="minorHAnsi" w:hAnsiTheme="minorHAnsi" w:cstheme="minorHAnsi"/>
          <w:b/>
          <w:bCs/>
          <w:color w:val="38312F"/>
          <w:bdr w:val="none" w:sz="0" w:space="0" w:color="auto" w:frame="1"/>
        </w:rPr>
        <w:t xml:space="preserve">le site web de la Near East </w:t>
      </w:r>
      <w:proofErr w:type="spellStart"/>
      <w:r w:rsidR="009B5C84" w:rsidRPr="009B5C84">
        <w:rPr>
          <w:rFonts w:asciiTheme="minorHAnsi" w:hAnsiTheme="minorHAnsi" w:cstheme="minorHAnsi"/>
          <w:b/>
          <w:bCs/>
          <w:color w:val="38312F"/>
          <w:bdr w:val="none" w:sz="0" w:space="0" w:color="auto" w:frame="1"/>
        </w:rPr>
        <w:t>Foundation</w:t>
      </w:r>
      <w:proofErr w:type="spellEnd"/>
      <w:r w:rsidR="00CC1974" w:rsidRPr="00CC1974">
        <w:rPr>
          <w:rFonts w:asciiTheme="minorHAnsi" w:hAnsiTheme="minorHAnsi" w:cstheme="minorHAnsi"/>
          <w:b/>
          <w:bCs/>
          <w:color w:val="38312F"/>
          <w:bdr w:val="none" w:sz="0" w:space="0" w:color="auto" w:frame="1"/>
        </w:rPr>
        <w:t xml:space="preserve"> </w:t>
      </w:r>
      <w:r w:rsidR="00CC1974" w:rsidRPr="003E6D92">
        <w:rPr>
          <w:rFonts w:asciiTheme="minorHAnsi" w:hAnsiTheme="minorHAnsi" w:cstheme="minorHAnsi"/>
          <w:b/>
          <w:bCs/>
          <w:color w:val="38312F"/>
          <w:bdr w:val="none" w:sz="0" w:space="0" w:color="auto" w:frame="1"/>
        </w:rPr>
        <w:t>à</w:t>
      </w:r>
      <w:r w:rsidR="00CC1974">
        <w:rPr>
          <w:rFonts w:asciiTheme="minorHAnsi" w:hAnsiTheme="minorHAnsi" w:cstheme="minorHAnsi"/>
          <w:b/>
          <w:bCs/>
          <w:color w:val="38312F"/>
          <w:bdr w:val="none" w:sz="0" w:space="0" w:color="auto" w:frame="1"/>
        </w:rPr>
        <w:t xml:space="preserve"> :</w:t>
      </w:r>
      <w:r w:rsidR="00CC1974">
        <w:rPr>
          <w:rFonts w:asciiTheme="minorHAnsi" w:hAnsiTheme="minorHAnsi" w:cstheme="minorHAnsi"/>
          <w:b/>
          <w:bCs/>
          <w:color w:val="38312F"/>
          <w:bdr w:val="none" w:sz="0" w:space="0" w:color="auto" w:frame="1"/>
        </w:rPr>
        <w:t xml:space="preserve"> </w:t>
      </w:r>
      <w:hyperlink r:id="rId8" w:history="1">
        <w:r w:rsidR="00CC1974" w:rsidRPr="00697295">
          <w:rPr>
            <w:rStyle w:val="Hyperlink"/>
            <w:rFonts w:asciiTheme="minorHAnsi" w:hAnsiTheme="minorHAnsi" w:cstheme="minorHAnsi"/>
            <w:b/>
            <w:bCs/>
            <w:bdr w:val="none" w:sz="0" w:space="0" w:color="auto" w:frame="1"/>
          </w:rPr>
          <w:t>https://neareast.bamboohr.com/careers/491?source=aWQ9MTM%3D</w:t>
        </w:r>
      </w:hyperlink>
      <w:r w:rsidR="00CC1974">
        <w:rPr>
          <w:rFonts w:asciiTheme="minorHAnsi" w:hAnsiTheme="minorHAnsi" w:cstheme="minorHAnsi"/>
          <w:b/>
          <w:bCs/>
          <w:color w:val="38312F"/>
          <w:bdr w:val="none" w:sz="0" w:space="0" w:color="auto" w:frame="1"/>
        </w:rPr>
        <w:t xml:space="preserve"> </w:t>
      </w:r>
      <w:r>
        <w:rPr>
          <w:rFonts w:asciiTheme="minorHAnsi" w:hAnsiTheme="minorHAnsi" w:cstheme="minorHAnsi"/>
          <w:color w:val="38312F"/>
          <w:bdr w:val="none" w:sz="0" w:space="0" w:color="auto" w:frame="1"/>
        </w:rPr>
        <w:t xml:space="preserve"> </w:t>
      </w:r>
    </w:p>
    <w:p w14:paraId="6F537487" w14:textId="77777777" w:rsidR="009B5C84" w:rsidRDefault="009B5C84" w:rsidP="009B5C84">
      <w:pPr>
        <w:pStyle w:val="NormalWeb"/>
        <w:shd w:val="clear" w:color="auto" w:fill="FFFFFF"/>
        <w:spacing w:before="0" w:beforeAutospacing="0" w:after="0" w:afterAutospacing="0"/>
        <w:jc w:val="both"/>
        <w:textAlignment w:val="baseline"/>
        <w:rPr>
          <w:rFonts w:asciiTheme="minorHAnsi" w:hAnsiTheme="minorHAnsi" w:cstheme="minorHAnsi"/>
          <w:color w:val="38312F"/>
          <w:bdr w:val="none" w:sz="0" w:space="0" w:color="auto" w:frame="1"/>
        </w:rPr>
      </w:pPr>
    </w:p>
    <w:p w14:paraId="4B2845D1" w14:textId="01B09BBE" w:rsidR="009D22A2" w:rsidRPr="00CF5685" w:rsidRDefault="009D22A2" w:rsidP="009B5C84">
      <w:pPr>
        <w:pStyle w:val="NormalWeb"/>
        <w:shd w:val="clear" w:color="auto" w:fill="FFFFFF"/>
        <w:spacing w:before="0" w:beforeAutospacing="0" w:after="0" w:afterAutospacing="0"/>
        <w:jc w:val="both"/>
        <w:textAlignment w:val="baseline"/>
        <w:rPr>
          <w:rFonts w:asciiTheme="minorHAnsi" w:hAnsiTheme="minorHAnsi" w:cstheme="minorHAnsi"/>
          <w:color w:val="38312F"/>
        </w:rPr>
      </w:pPr>
      <w:r w:rsidRPr="00CF5685">
        <w:rPr>
          <w:rFonts w:asciiTheme="minorHAnsi" w:hAnsiTheme="minorHAnsi" w:cstheme="minorHAnsi"/>
          <w:color w:val="38312F"/>
          <w:bdr w:val="none" w:sz="0" w:space="0" w:color="auto" w:frame="1"/>
        </w:rPr>
        <w:t>Les applications seront examinées sur une base continue ; NEF se réserve le droit de mener des entretiens avant la date de clôture et peut fermer l’annonce plus tôt en cas de sélection d’un candidat approprié.</w:t>
      </w:r>
    </w:p>
    <w:p w14:paraId="630B4A54" w14:textId="2981A306" w:rsidR="009D22A2" w:rsidRDefault="009D22A2" w:rsidP="009D22A2">
      <w:pPr>
        <w:pStyle w:val="NormalWeb"/>
        <w:shd w:val="clear" w:color="auto" w:fill="FFFFFF"/>
        <w:spacing w:before="0" w:beforeAutospacing="0" w:after="0" w:afterAutospacing="0"/>
        <w:textAlignment w:val="baseline"/>
        <w:rPr>
          <w:rFonts w:ascii="Arial" w:hAnsi="Arial" w:cs="Arial"/>
          <w:color w:val="38312F"/>
        </w:rPr>
      </w:pPr>
    </w:p>
    <w:p w14:paraId="6B17207E" w14:textId="6A3A5298" w:rsidR="007268DB" w:rsidRPr="00D9103B" w:rsidRDefault="007268DB" w:rsidP="00CF5685">
      <w:pPr>
        <w:pStyle w:val="Heading2"/>
        <w:numPr>
          <w:ilvl w:val="0"/>
          <w:numId w:val="22"/>
        </w:numPr>
        <w:spacing w:after="120"/>
        <w:rPr>
          <w:lang w:eastAsia="fr-FR"/>
        </w:rPr>
      </w:pPr>
      <w:r>
        <w:rPr>
          <w:lang w:eastAsia="fr-FR"/>
        </w:rPr>
        <w:t>Propriété des résultats</w:t>
      </w:r>
    </w:p>
    <w:p w14:paraId="714682F2" w14:textId="65AB0B13" w:rsidR="007268DB" w:rsidRPr="00BC6153" w:rsidRDefault="007268DB" w:rsidP="007268DB">
      <w:pPr>
        <w:jc w:val="both"/>
        <w:rPr>
          <w:lang w:eastAsia="fr-FR"/>
        </w:rPr>
      </w:pPr>
      <w:r>
        <w:rPr>
          <w:lang w:eastAsia="fr-FR"/>
        </w:rPr>
        <w:t>Les résultats de l’évaluation restent propriétés de la NEF et ne peuvent faire l’objet de publication</w:t>
      </w:r>
      <w:r w:rsidR="00DE2092">
        <w:rPr>
          <w:lang w:eastAsia="fr-FR"/>
        </w:rPr>
        <w:t>/d’exploitation</w:t>
      </w:r>
      <w:r>
        <w:rPr>
          <w:lang w:eastAsia="fr-FR"/>
        </w:rPr>
        <w:t xml:space="preserve"> sans leur accord.</w:t>
      </w:r>
    </w:p>
    <w:p w14:paraId="391A83D0" w14:textId="77777777" w:rsidR="000744B3" w:rsidRDefault="000744B3" w:rsidP="007268DB">
      <w:pPr>
        <w:spacing w:line="240" w:lineRule="auto"/>
        <w:jc w:val="both"/>
      </w:pPr>
    </w:p>
    <w:p w14:paraId="14AB3F84" w14:textId="6DD4D062" w:rsidR="00DE2092" w:rsidRPr="00CF5685" w:rsidRDefault="00DE2092" w:rsidP="00CF5685">
      <w:pPr>
        <w:spacing w:after="240" w:line="240" w:lineRule="auto"/>
        <w:jc w:val="both"/>
        <w:rPr>
          <w:rFonts w:cstheme="minorHAnsi"/>
        </w:rPr>
      </w:pPr>
      <w:r w:rsidRPr="00CF5685">
        <w:rPr>
          <w:rFonts w:eastAsiaTheme="majorEastAsia" w:cstheme="minorHAnsi"/>
          <w:color w:val="2F5496" w:themeColor="accent1" w:themeShade="BF"/>
          <w:sz w:val="32"/>
          <w:szCs w:val="32"/>
          <w:lang w:eastAsia="fr-FR"/>
        </w:rPr>
        <w:t>Annexe : Questions d’évaluation</w:t>
      </w:r>
    </w:p>
    <w:p w14:paraId="67FED311" w14:textId="1C9644E9" w:rsidR="00DE2092" w:rsidRPr="00CF5685" w:rsidRDefault="00DE2092" w:rsidP="00CF5685">
      <w:pPr>
        <w:pStyle w:val="Heading3"/>
        <w:numPr>
          <w:ilvl w:val="0"/>
          <w:numId w:val="30"/>
        </w:numPr>
        <w:spacing w:before="0" w:beforeAutospacing="0" w:after="120" w:afterAutospacing="0"/>
        <w:jc w:val="both"/>
        <w:rPr>
          <w:rFonts w:asciiTheme="minorHAnsi" w:eastAsiaTheme="majorEastAsia" w:hAnsiTheme="minorHAnsi" w:cstheme="minorHAnsi"/>
          <w:sz w:val="28"/>
          <w:szCs w:val="28"/>
        </w:rPr>
      </w:pPr>
      <w:r w:rsidRPr="00CF5685">
        <w:rPr>
          <w:rFonts w:asciiTheme="minorHAnsi" w:eastAsiaTheme="majorEastAsia" w:hAnsiTheme="minorHAnsi" w:cstheme="minorHAnsi"/>
          <w:sz w:val="28"/>
          <w:szCs w:val="28"/>
        </w:rPr>
        <w:t>Pertinenc</w:t>
      </w:r>
      <w:r w:rsidRPr="00CF5685">
        <w:rPr>
          <w:rFonts w:asciiTheme="minorHAnsi" w:hAnsiTheme="minorHAnsi" w:cstheme="minorHAnsi"/>
          <w:sz w:val="28"/>
          <w:szCs w:val="28"/>
        </w:rPr>
        <w:t>e</w:t>
      </w:r>
    </w:p>
    <w:p w14:paraId="709B2D7E" w14:textId="402D0EFB" w:rsidR="00DE2092" w:rsidRPr="00CF5685" w:rsidRDefault="00DE2092" w:rsidP="00CF5685">
      <w:pPr>
        <w:pStyle w:val="Heading4"/>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Climat </w:t>
      </w:r>
    </w:p>
    <w:p w14:paraId="3993702A" w14:textId="184B42CE"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Dans quelle mesure le projet a-t-il répondu aux risques climatiques les plus urgents affectant les sources de revenus (ex. sécheresse, chômage) dans les régions ciblées ?</w:t>
      </w:r>
    </w:p>
    <w:p w14:paraId="647AAE55" w14:textId="1A4E8E6A"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Dans quelle mesure les solutions climatiques sélectionnées (start-up) étaient-elles alignées sur les priorités nationales en matière d’atténuation et d’adaptation ?</w:t>
      </w:r>
    </w:p>
    <w:p w14:paraId="517EE8AA" w14:textId="77777777"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Genre &amp; Inclusion</w:t>
      </w:r>
    </w:p>
    <w:p w14:paraId="0CB0B048" w14:textId="52BA271D"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 xml:space="preserve">Les femmes et les groupes marginalisés ont-ils été suffisamment prioritaires dans la sélection des </w:t>
      </w:r>
      <w:proofErr w:type="spellStart"/>
      <w:r w:rsidRPr="00343F08">
        <w:rPr>
          <w:rFonts w:cstheme="minorHAnsi"/>
          <w:lang w:eastAsia="fr-FR"/>
        </w:rPr>
        <w:t>participant.</w:t>
      </w:r>
      <w:proofErr w:type="gramStart"/>
      <w:r w:rsidRPr="00343F08">
        <w:rPr>
          <w:rFonts w:cstheme="minorHAnsi"/>
          <w:lang w:eastAsia="fr-FR"/>
        </w:rPr>
        <w:t>e.s</w:t>
      </w:r>
      <w:proofErr w:type="spellEnd"/>
      <w:proofErr w:type="gramEnd"/>
      <w:r w:rsidRPr="00343F08">
        <w:rPr>
          <w:rFonts w:cstheme="minorHAnsi"/>
          <w:lang w:eastAsia="fr-FR"/>
        </w:rPr>
        <w:t>, la conception des activités et l’allocation des ressources ? Ces mesures ont-elles réduit les obstacles à leur participation ?</w:t>
      </w:r>
    </w:p>
    <w:p w14:paraId="71676A8F" w14:textId="4A7B5CA0"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Les approches sensibles au genre du projet ont-elles permis de lever efficacement les barrières rencontrées par les femmes entrepreneures ?</w:t>
      </w:r>
    </w:p>
    <w:p w14:paraId="276FD6D4" w14:textId="799D3ED6"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 xml:space="preserve">Les critères d’éligibilité du projet (limites d’âge, niveau de maturité des start-up) correspondaient-ils aux besoins réels des </w:t>
      </w:r>
      <w:proofErr w:type="spellStart"/>
      <w:r w:rsidRPr="00343F08">
        <w:rPr>
          <w:rFonts w:cstheme="minorHAnsi"/>
          <w:lang w:eastAsia="fr-FR"/>
        </w:rPr>
        <w:t>entrepreneur.</w:t>
      </w:r>
      <w:proofErr w:type="gramStart"/>
      <w:r w:rsidRPr="00343F08">
        <w:rPr>
          <w:rFonts w:cstheme="minorHAnsi"/>
          <w:lang w:eastAsia="fr-FR"/>
        </w:rPr>
        <w:t>e.s</w:t>
      </w:r>
      <w:proofErr w:type="spellEnd"/>
      <w:proofErr w:type="gramEnd"/>
      <w:r w:rsidRPr="00343F08">
        <w:rPr>
          <w:rFonts w:cstheme="minorHAnsi"/>
          <w:lang w:eastAsia="fr-FR"/>
        </w:rPr>
        <w:t xml:space="preserve">, ou ont-ils exclu </w:t>
      </w:r>
      <w:proofErr w:type="gramStart"/>
      <w:r w:rsidRPr="00343F08">
        <w:rPr>
          <w:rFonts w:cstheme="minorHAnsi"/>
          <w:lang w:eastAsia="fr-FR"/>
        </w:rPr>
        <w:t xml:space="preserve">des </w:t>
      </w:r>
      <w:proofErr w:type="spellStart"/>
      <w:r w:rsidRPr="00343F08">
        <w:rPr>
          <w:rFonts w:cstheme="minorHAnsi"/>
          <w:lang w:eastAsia="fr-FR"/>
        </w:rPr>
        <w:t>candidat</w:t>
      </w:r>
      <w:proofErr w:type="gramEnd"/>
      <w:r w:rsidRPr="00343F08">
        <w:rPr>
          <w:rFonts w:cstheme="minorHAnsi"/>
          <w:lang w:eastAsia="fr-FR"/>
        </w:rPr>
        <w:t>.</w:t>
      </w:r>
      <w:proofErr w:type="gramStart"/>
      <w:r w:rsidRPr="00343F08">
        <w:rPr>
          <w:rFonts w:cstheme="minorHAnsi"/>
          <w:lang w:eastAsia="fr-FR"/>
        </w:rPr>
        <w:t>e.s</w:t>
      </w:r>
      <w:proofErr w:type="spellEnd"/>
      <w:proofErr w:type="gramEnd"/>
      <w:r w:rsidRPr="00343F08">
        <w:rPr>
          <w:rFonts w:cstheme="minorHAnsi"/>
          <w:lang w:eastAsia="fr-FR"/>
        </w:rPr>
        <w:t xml:space="preserve"> pourtant viables ?</w:t>
      </w:r>
    </w:p>
    <w:p w14:paraId="4828F752" w14:textId="20809A58"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Dans un contexte de méfiance liée à des expériences passées négatives, dans quelle mesure le projet s’est-il bien différencié ou a-t-il complété les autres incubateurs ?</w:t>
      </w:r>
    </w:p>
    <w:p w14:paraId="66A4E9B7" w14:textId="77777777"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Ancrage régional &amp; national</w:t>
      </w:r>
    </w:p>
    <w:p w14:paraId="5FA70505" w14:textId="00ADEC87" w:rsidR="00DE2092" w:rsidRPr="00343F08" w:rsidRDefault="00DE2092" w:rsidP="00CF5685">
      <w:pPr>
        <w:pStyle w:val="ListParagraph"/>
        <w:numPr>
          <w:ilvl w:val="0"/>
          <w:numId w:val="31"/>
        </w:numPr>
        <w:spacing w:after="0"/>
        <w:jc w:val="both"/>
        <w:rPr>
          <w:rFonts w:cstheme="minorHAnsi"/>
          <w:lang w:eastAsia="fr-FR"/>
        </w:rPr>
      </w:pPr>
      <w:r w:rsidRPr="00343F08">
        <w:rPr>
          <w:rFonts w:cstheme="minorHAnsi"/>
          <w:lang w:eastAsia="fr-FR"/>
        </w:rPr>
        <w:t>Au-delà de la vulnérabilité climatique et des taux de chômage, le projet a-t-il tiré parti des atouts régionaux et de partenaires potentiels (universités, coopératives féminines, centres d’investissement, etc.) pour maximiser sa pertinence, sa portée et son impact ?</w:t>
      </w:r>
    </w:p>
    <w:p w14:paraId="25786E1B" w14:textId="77777777" w:rsidR="00DE2092" w:rsidRPr="00343F08" w:rsidRDefault="00DE2092" w:rsidP="00CF5685">
      <w:pPr>
        <w:spacing w:after="0"/>
        <w:jc w:val="both"/>
        <w:rPr>
          <w:rFonts w:cstheme="minorHAnsi"/>
          <w:lang w:eastAsia="fr-FR"/>
        </w:rPr>
      </w:pPr>
    </w:p>
    <w:p w14:paraId="541D59C0" w14:textId="46012AA0" w:rsidR="00DE2092" w:rsidRPr="00CF5685" w:rsidRDefault="00DE2092" w:rsidP="00CF5685">
      <w:pPr>
        <w:pStyle w:val="Heading3"/>
        <w:numPr>
          <w:ilvl w:val="0"/>
          <w:numId w:val="30"/>
        </w:numPr>
        <w:spacing w:before="0" w:beforeAutospacing="0" w:after="0" w:afterAutospacing="0"/>
        <w:jc w:val="both"/>
        <w:rPr>
          <w:rFonts w:asciiTheme="minorHAnsi" w:eastAsiaTheme="majorEastAsia" w:hAnsiTheme="minorHAnsi" w:cstheme="minorHAnsi"/>
        </w:rPr>
      </w:pPr>
      <w:r w:rsidRPr="00CF5685">
        <w:rPr>
          <w:rFonts w:asciiTheme="minorHAnsi" w:eastAsiaTheme="majorEastAsia" w:hAnsiTheme="minorHAnsi" w:cstheme="minorHAnsi"/>
        </w:rPr>
        <w:t>Efficacité</w:t>
      </w:r>
    </w:p>
    <w:p w14:paraId="0508FA36" w14:textId="1E2E57D7"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Objectif 1 – Mise en réseau </w:t>
      </w:r>
    </w:p>
    <w:p w14:paraId="24BA183C" w14:textId="2B57A041"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 xml:space="preserve">Dans quelle mesure la participation au projet a-t-elle amélioré l’accès </w:t>
      </w:r>
      <w:proofErr w:type="gramStart"/>
      <w:r w:rsidRPr="00343F08">
        <w:rPr>
          <w:rFonts w:cstheme="minorHAnsi"/>
          <w:lang w:eastAsia="fr-FR"/>
        </w:rPr>
        <w:t xml:space="preserve">des </w:t>
      </w:r>
      <w:proofErr w:type="spellStart"/>
      <w:r w:rsidRPr="00343F08">
        <w:rPr>
          <w:rFonts w:cstheme="minorHAnsi"/>
          <w:lang w:eastAsia="fr-FR"/>
        </w:rPr>
        <w:t>entrepreneur</w:t>
      </w:r>
      <w:proofErr w:type="gramEnd"/>
      <w:r w:rsidRPr="00343F08">
        <w:rPr>
          <w:rFonts w:cstheme="minorHAnsi"/>
          <w:lang w:eastAsia="fr-FR"/>
        </w:rPr>
        <w:t>.</w:t>
      </w:r>
      <w:proofErr w:type="gramStart"/>
      <w:r w:rsidRPr="00343F08">
        <w:rPr>
          <w:rFonts w:cstheme="minorHAnsi"/>
          <w:lang w:eastAsia="fr-FR"/>
        </w:rPr>
        <w:t>e.s</w:t>
      </w:r>
      <w:proofErr w:type="spellEnd"/>
      <w:proofErr w:type="gramEnd"/>
      <w:r w:rsidRPr="00343F08">
        <w:rPr>
          <w:rFonts w:cstheme="minorHAnsi"/>
          <w:lang w:eastAsia="fr-FR"/>
        </w:rPr>
        <w:t xml:space="preserve"> à des réseaux, des mentors ou des opportunités de marché ?</w:t>
      </w:r>
    </w:p>
    <w:p w14:paraId="124079C3" w14:textId="7672799E"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Objectif 2 – Renforcement des capacités </w:t>
      </w:r>
    </w:p>
    <w:p w14:paraId="4E8BD7A6" w14:textId="5BABB3B5"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Quel pourcentage des start-up accompagnées ont atteint le stade de déploiement sur le marché, et quelle était la solidité de leurs modèles d’affaires et de leurs produits ? Y a-t-il des disparités selon le genre ou la région ?</w:t>
      </w:r>
    </w:p>
    <w:p w14:paraId="65DCE2C7" w14:textId="651A00C7"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Le projet a-t-il amélioré la capacité des start-up soutenues à se préparer à l’investissement et à attirer des financements ? Si oui, comment ?</w:t>
      </w:r>
    </w:p>
    <w:p w14:paraId="7F3E8006" w14:textId="319CC888"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 xml:space="preserve">Dans quelle mesure </w:t>
      </w:r>
      <w:proofErr w:type="gramStart"/>
      <w:r w:rsidRPr="00343F08">
        <w:rPr>
          <w:rFonts w:cstheme="minorHAnsi"/>
          <w:lang w:eastAsia="fr-FR"/>
        </w:rPr>
        <w:t xml:space="preserve">les </w:t>
      </w:r>
      <w:proofErr w:type="spellStart"/>
      <w:r w:rsidRPr="00343F08">
        <w:rPr>
          <w:rFonts w:cstheme="minorHAnsi"/>
          <w:lang w:eastAsia="fr-FR"/>
        </w:rPr>
        <w:t>entrepreneur</w:t>
      </w:r>
      <w:proofErr w:type="gramEnd"/>
      <w:r w:rsidRPr="00343F08">
        <w:rPr>
          <w:rFonts w:cstheme="minorHAnsi"/>
          <w:lang w:eastAsia="fr-FR"/>
        </w:rPr>
        <w:t>.</w:t>
      </w:r>
      <w:proofErr w:type="gramStart"/>
      <w:r w:rsidRPr="00343F08">
        <w:rPr>
          <w:rFonts w:cstheme="minorHAnsi"/>
          <w:lang w:eastAsia="fr-FR"/>
        </w:rPr>
        <w:t>e.s</w:t>
      </w:r>
      <w:proofErr w:type="spellEnd"/>
      <w:proofErr w:type="gramEnd"/>
      <w:r w:rsidRPr="00343F08">
        <w:rPr>
          <w:rFonts w:cstheme="minorHAnsi"/>
          <w:lang w:eastAsia="fr-FR"/>
        </w:rPr>
        <w:t xml:space="preserve"> ont-ils renforcé leurs capacités techniques, managériales et financières pour développer des entreprises vertes ?</w:t>
      </w:r>
    </w:p>
    <w:p w14:paraId="1BC2523B" w14:textId="77777777"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Objectif 3 – Écosystème</w:t>
      </w:r>
    </w:p>
    <w:p w14:paraId="08D95237" w14:textId="66C5D502"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 xml:space="preserve">De nouvelles organisations d’appui </w:t>
      </w:r>
      <w:proofErr w:type="gramStart"/>
      <w:r w:rsidRPr="00343F08">
        <w:rPr>
          <w:rFonts w:cstheme="minorHAnsi"/>
          <w:lang w:eastAsia="fr-FR"/>
        </w:rPr>
        <w:t>aux entrepreneur</w:t>
      </w:r>
      <w:proofErr w:type="gramEnd"/>
      <w:r w:rsidRPr="00343F08">
        <w:rPr>
          <w:rFonts w:cstheme="minorHAnsi"/>
          <w:lang w:eastAsia="fr-FR"/>
        </w:rPr>
        <w:t>.</w:t>
      </w:r>
      <w:proofErr w:type="gramStart"/>
      <w:r w:rsidRPr="00343F08">
        <w:rPr>
          <w:rFonts w:cstheme="minorHAnsi"/>
          <w:lang w:eastAsia="fr-FR"/>
        </w:rPr>
        <w:t>e.</w:t>
      </w:r>
      <w:proofErr w:type="spellStart"/>
      <w:r w:rsidRPr="00343F08">
        <w:rPr>
          <w:rFonts w:cstheme="minorHAnsi"/>
          <w:lang w:eastAsia="fr-FR"/>
        </w:rPr>
        <w:t>s</w:t>
      </w:r>
      <w:proofErr w:type="gramEnd"/>
      <w:r w:rsidRPr="00343F08">
        <w:rPr>
          <w:rFonts w:cstheme="minorHAnsi"/>
          <w:lang w:eastAsia="fr-FR"/>
        </w:rPr>
        <w:t xml:space="preserve"> ont</w:t>
      </w:r>
      <w:proofErr w:type="spellEnd"/>
      <w:r w:rsidRPr="00343F08">
        <w:rPr>
          <w:rFonts w:cstheme="minorHAnsi"/>
          <w:lang w:eastAsia="fr-FR"/>
        </w:rPr>
        <w:t>-elles rejoint la communauté, et restent-elles engagées vers la fin du projet ?</w:t>
      </w:r>
    </w:p>
    <w:p w14:paraId="211858C1" w14:textId="4E899221"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Le projet a-t-il efficacement encouragé la collaboration entre pairs au-delà des activités formelles ?</w:t>
      </w:r>
    </w:p>
    <w:p w14:paraId="3E11A4DA" w14:textId="0005B3AE" w:rsidR="00DE2092" w:rsidRPr="00CF5685" w:rsidRDefault="00DE2092" w:rsidP="00CF5685">
      <w:pPr>
        <w:pStyle w:val="Heading4"/>
        <w:spacing w:before="12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Gestion adaptative </w:t>
      </w:r>
    </w:p>
    <w:p w14:paraId="45EE16A3" w14:textId="0EB7E51E"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Quels défis sont survenus lors de la mise en œuvre et comment ont-ils été gérés ?</w:t>
      </w:r>
    </w:p>
    <w:p w14:paraId="59E74414" w14:textId="3FDD5D4E" w:rsidR="00DE2092" w:rsidRPr="00343F08" w:rsidRDefault="00DE2092" w:rsidP="00CF5685">
      <w:pPr>
        <w:pStyle w:val="ListParagraph"/>
        <w:numPr>
          <w:ilvl w:val="0"/>
          <w:numId w:val="31"/>
        </w:numPr>
        <w:spacing w:before="120" w:after="120"/>
        <w:jc w:val="both"/>
        <w:rPr>
          <w:rFonts w:cstheme="minorHAnsi"/>
          <w:lang w:eastAsia="fr-FR"/>
        </w:rPr>
      </w:pPr>
      <w:r w:rsidRPr="00343F08">
        <w:rPr>
          <w:rFonts w:cstheme="minorHAnsi"/>
          <w:lang w:eastAsia="fr-FR"/>
        </w:rPr>
        <w:t xml:space="preserve">Dans quelle mesure les contributions </w:t>
      </w:r>
      <w:r w:rsidR="00ED57A6" w:rsidRPr="00343F08">
        <w:rPr>
          <w:rFonts w:cstheme="minorHAnsi"/>
          <w:lang w:eastAsia="fr-FR"/>
        </w:rPr>
        <w:t>du partenaire</w:t>
      </w:r>
      <w:r w:rsidRPr="00343F08">
        <w:rPr>
          <w:rFonts w:cstheme="minorHAnsi"/>
          <w:lang w:eastAsia="fr-FR"/>
        </w:rPr>
        <w:t xml:space="preserve"> ont-elles été efficaces pour la mise en œuvre du projet ?</w:t>
      </w:r>
    </w:p>
    <w:p w14:paraId="459F5518" w14:textId="0D5DF21C" w:rsidR="00ED57A6" w:rsidRPr="00343F08" w:rsidRDefault="00DE2092" w:rsidP="00CF5685">
      <w:pPr>
        <w:pStyle w:val="ListParagraph"/>
        <w:numPr>
          <w:ilvl w:val="0"/>
          <w:numId w:val="31"/>
        </w:numPr>
        <w:spacing w:before="120" w:after="120"/>
        <w:jc w:val="both"/>
        <w:rPr>
          <w:rFonts w:eastAsiaTheme="majorEastAsia" w:cstheme="minorHAnsi"/>
        </w:rPr>
      </w:pPr>
      <w:r w:rsidRPr="00343F08">
        <w:rPr>
          <w:rFonts w:cstheme="minorHAnsi"/>
          <w:lang w:eastAsia="fr-FR"/>
        </w:rPr>
        <w:t xml:space="preserve">Comment NEF et </w:t>
      </w:r>
      <w:r w:rsidR="00ED57A6" w:rsidRPr="00343F08">
        <w:rPr>
          <w:rFonts w:cstheme="minorHAnsi"/>
          <w:lang w:eastAsia="fr-FR"/>
        </w:rPr>
        <w:t>son partenaire</w:t>
      </w:r>
      <w:r w:rsidRPr="00343F08">
        <w:rPr>
          <w:rFonts w:cstheme="minorHAnsi"/>
          <w:lang w:eastAsia="fr-FR"/>
        </w:rPr>
        <w:t xml:space="preserve"> ont-ils adapté la mise en œuvre du programme (formations, coaching, modèle hybride) face aux désistements, difficultés de communication et contraintes géographiques ?</w:t>
      </w:r>
    </w:p>
    <w:p w14:paraId="1331DBD4" w14:textId="77777777" w:rsidR="00CF5685" w:rsidRDefault="00CF5685" w:rsidP="00CF5685">
      <w:pPr>
        <w:pStyle w:val="Heading3"/>
        <w:spacing w:before="0" w:beforeAutospacing="0" w:after="120" w:afterAutospacing="0"/>
        <w:jc w:val="both"/>
        <w:rPr>
          <w:rFonts w:asciiTheme="minorHAnsi" w:eastAsiaTheme="majorEastAsia" w:hAnsiTheme="minorHAnsi" w:cstheme="minorHAnsi"/>
        </w:rPr>
      </w:pPr>
    </w:p>
    <w:p w14:paraId="58AC2CCD" w14:textId="77777777" w:rsidR="00CF5685" w:rsidRDefault="00CF5685" w:rsidP="00CF5685">
      <w:pPr>
        <w:pStyle w:val="Heading3"/>
        <w:spacing w:before="0" w:beforeAutospacing="0" w:after="120" w:afterAutospacing="0"/>
        <w:jc w:val="both"/>
        <w:rPr>
          <w:rFonts w:asciiTheme="minorHAnsi" w:eastAsiaTheme="majorEastAsia" w:hAnsiTheme="minorHAnsi" w:cstheme="minorHAnsi"/>
        </w:rPr>
      </w:pPr>
    </w:p>
    <w:p w14:paraId="35816155" w14:textId="7ACAFF2C" w:rsidR="00DE2092" w:rsidRPr="00CF5685" w:rsidRDefault="00ED57A6" w:rsidP="00CF5685">
      <w:pPr>
        <w:pStyle w:val="Heading3"/>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3) </w:t>
      </w:r>
      <w:r w:rsidR="00DE2092" w:rsidRPr="00CF5685">
        <w:rPr>
          <w:rFonts w:asciiTheme="minorHAnsi" w:eastAsiaTheme="majorEastAsia" w:hAnsiTheme="minorHAnsi" w:cstheme="minorHAnsi"/>
        </w:rPr>
        <w:t xml:space="preserve">Efficience </w:t>
      </w:r>
    </w:p>
    <w:p w14:paraId="3F7FC52F" w14:textId="681DCC0D"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Le modèle hybride (en ligne + présentiel) a-t-il permis d’optimiser la participation et de réduire les barrières ?</w:t>
      </w:r>
    </w:p>
    <w:p w14:paraId="0D6C618F" w14:textId="5A29EB2F"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Dans quelle mesure l’accompagnement individuel a-t-il renforcé les compétences entrepreneuriales, l’accès au marché, la création d’emplois et la croissance des revenus ?</w:t>
      </w:r>
    </w:p>
    <w:p w14:paraId="47BF6280" w14:textId="15304976"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Dans quelle mesure la prolongation du projet a-t-elle contribué à l’atteinte des résultats ?</w:t>
      </w:r>
    </w:p>
    <w:p w14:paraId="73E1486A" w14:textId="787EF01B"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Le projet a-t-il mobilisé efficacement les acteurs de l’écosystème (banques, universités, agences publiques, secteur privé, etc.) pour créer de la valeur sans générer des coûts élevés ?</w:t>
      </w:r>
    </w:p>
    <w:p w14:paraId="4395015D" w14:textId="5B1A8E40"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Dans quelle mesure NEF et </w:t>
      </w:r>
      <w:r w:rsidR="00ED57A6" w:rsidRPr="00343F08">
        <w:rPr>
          <w:rFonts w:cstheme="minorHAnsi"/>
          <w:lang w:eastAsia="fr-FR"/>
        </w:rPr>
        <w:t>son partenaire</w:t>
      </w:r>
      <w:r w:rsidRPr="00343F08">
        <w:rPr>
          <w:rFonts w:cstheme="minorHAnsi"/>
          <w:lang w:eastAsia="fr-FR"/>
        </w:rPr>
        <w:t xml:space="preserve"> ont-ils coordonné leurs rôles et mobilisé les ressources d’autres partenaires (universités, acteurs publics, etc.) ?</w:t>
      </w:r>
    </w:p>
    <w:p w14:paraId="40BDDF49" w14:textId="449D60DE" w:rsidR="00DE2092" w:rsidRPr="00CF5685" w:rsidRDefault="00ED57A6" w:rsidP="00CF5685">
      <w:pPr>
        <w:pStyle w:val="Heading3"/>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4) </w:t>
      </w:r>
      <w:r w:rsidR="00DE2092" w:rsidRPr="00CF5685">
        <w:rPr>
          <w:rFonts w:asciiTheme="minorHAnsi" w:eastAsiaTheme="majorEastAsia" w:hAnsiTheme="minorHAnsi" w:cstheme="minorHAnsi"/>
        </w:rPr>
        <w:t>Impact</w:t>
      </w:r>
    </w:p>
    <w:p w14:paraId="09297638" w14:textId="24D007EA" w:rsidR="00ED57A6"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Quelles preuves montrent que </w:t>
      </w:r>
      <w:proofErr w:type="gramStart"/>
      <w:r w:rsidRPr="00343F08">
        <w:rPr>
          <w:rFonts w:cstheme="minorHAnsi"/>
          <w:lang w:eastAsia="fr-FR"/>
        </w:rPr>
        <w:t>les start-up accompagnées</w:t>
      </w:r>
      <w:proofErr w:type="gramEnd"/>
      <w:r w:rsidRPr="00343F08">
        <w:rPr>
          <w:rFonts w:cstheme="minorHAnsi"/>
          <w:lang w:eastAsia="fr-FR"/>
        </w:rPr>
        <w:t xml:space="preserve"> contribuent à l’atténuation du changement climatique ?</w:t>
      </w:r>
    </w:p>
    <w:p w14:paraId="753ACAF2" w14:textId="5BCC6D9A"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Comment le projet a-t-il influencé les perceptions locales des jeunes – en particulier des femmes – en tant qu’innovateurs et entrepreneurs </w:t>
      </w:r>
      <w:r w:rsidR="00ED57A6" w:rsidRPr="00343F08">
        <w:rPr>
          <w:rFonts w:cstheme="minorHAnsi"/>
          <w:lang w:eastAsia="fr-FR"/>
        </w:rPr>
        <w:t>verts</w:t>
      </w:r>
      <w:r w:rsidRPr="00343F08">
        <w:rPr>
          <w:rFonts w:cstheme="minorHAnsi"/>
          <w:lang w:eastAsia="fr-FR"/>
        </w:rPr>
        <w:t xml:space="preserve"> ?</w:t>
      </w:r>
    </w:p>
    <w:p w14:paraId="6B88AD88" w14:textId="4C95A5BB"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Quels impacts inattendus, positifs ou négatifs, ont été observés ?</w:t>
      </w:r>
    </w:p>
    <w:p w14:paraId="5265D36B" w14:textId="2403C948"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Comment l’écosystème entrepreneurial a-t-il évolué après le projet ?</w:t>
      </w:r>
    </w:p>
    <w:p w14:paraId="0D8F32E4" w14:textId="404D9A89"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Quels changements en matière d’emploi et de revenus ont été observés chez </w:t>
      </w:r>
      <w:proofErr w:type="gramStart"/>
      <w:r w:rsidRPr="00343F08">
        <w:rPr>
          <w:rFonts w:cstheme="minorHAnsi"/>
          <w:lang w:eastAsia="fr-FR"/>
        </w:rPr>
        <w:t xml:space="preserve">les </w:t>
      </w:r>
      <w:proofErr w:type="spellStart"/>
      <w:r w:rsidRPr="00343F08">
        <w:rPr>
          <w:rFonts w:cstheme="minorHAnsi"/>
          <w:lang w:eastAsia="fr-FR"/>
        </w:rPr>
        <w:t>entrepreneur</w:t>
      </w:r>
      <w:proofErr w:type="gramEnd"/>
      <w:r w:rsidR="00ED57A6" w:rsidRPr="00343F08">
        <w:rPr>
          <w:rFonts w:cstheme="minorHAnsi"/>
          <w:lang w:eastAsia="fr-FR"/>
        </w:rPr>
        <w:t>.</w:t>
      </w:r>
      <w:proofErr w:type="gramStart"/>
      <w:r w:rsidR="00ED57A6" w:rsidRPr="00343F08">
        <w:rPr>
          <w:rFonts w:cstheme="minorHAnsi"/>
          <w:lang w:eastAsia="fr-FR"/>
        </w:rPr>
        <w:t>e.s</w:t>
      </w:r>
      <w:proofErr w:type="spellEnd"/>
      <w:proofErr w:type="gramEnd"/>
      <w:r w:rsidR="00ED57A6" w:rsidRPr="00343F08">
        <w:rPr>
          <w:rFonts w:cstheme="minorHAnsi"/>
          <w:lang w:eastAsia="fr-FR"/>
        </w:rPr>
        <w:t xml:space="preserve"> </w:t>
      </w:r>
      <w:r w:rsidRPr="00343F08">
        <w:rPr>
          <w:rFonts w:cstheme="minorHAnsi"/>
          <w:lang w:eastAsia="fr-FR"/>
        </w:rPr>
        <w:t xml:space="preserve">et </w:t>
      </w:r>
      <w:proofErr w:type="gramStart"/>
      <w:r w:rsidRPr="00343F08">
        <w:rPr>
          <w:rFonts w:cstheme="minorHAnsi"/>
          <w:lang w:eastAsia="fr-FR"/>
        </w:rPr>
        <w:t xml:space="preserve">leurs </w:t>
      </w:r>
      <w:proofErr w:type="spellStart"/>
      <w:r w:rsidRPr="00343F08">
        <w:rPr>
          <w:rFonts w:cstheme="minorHAnsi"/>
          <w:lang w:eastAsia="fr-FR"/>
        </w:rPr>
        <w:t>employé</w:t>
      </w:r>
      <w:proofErr w:type="gramEnd"/>
      <w:r w:rsidR="00ED57A6" w:rsidRPr="00343F08">
        <w:rPr>
          <w:rFonts w:cstheme="minorHAnsi"/>
          <w:lang w:eastAsia="fr-FR"/>
        </w:rPr>
        <w:t>.</w:t>
      </w:r>
      <w:proofErr w:type="gramStart"/>
      <w:r w:rsidR="00ED57A6" w:rsidRPr="00343F08">
        <w:rPr>
          <w:rFonts w:cstheme="minorHAnsi"/>
          <w:lang w:eastAsia="fr-FR"/>
        </w:rPr>
        <w:t>e.s</w:t>
      </w:r>
      <w:proofErr w:type="spellEnd"/>
      <w:proofErr w:type="gramEnd"/>
      <w:r w:rsidR="00ED57A6" w:rsidRPr="00343F08">
        <w:rPr>
          <w:rFonts w:cstheme="minorHAnsi"/>
          <w:lang w:eastAsia="fr-FR"/>
        </w:rPr>
        <w:t xml:space="preserve"> </w:t>
      </w:r>
      <w:r w:rsidRPr="00343F08">
        <w:rPr>
          <w:rFonts w:cstheme="minorHAnsi"/>
          <w:lang w:eastAsia="fr-FR"/>
        </w:rPr>
        <w:t>depuis le début du projet ?</w:t>
      </w:r>
    </w:p>
    <w:p w14:paraId="00A989D8" w14:textId="16BDAB32"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Dans quelle mesure le projet a-t-il renforcé la capacité des entreprises vertes soutenues à accéder à des financements (subventions d’amorçage, financements mixtes, réseaux d’investisseurs) pour se développer ? Ces entreprises sont-elles perçues comme davantage « investissables » ?</w:t>
      </w:r>
    </w:p>
    <w:p w14:paraId="0F218D11" w14:textId="2661B308" w:rsidR="00DE2092" w:rsidRPr="00CF5685" w:rsidRDefault="00ED57A6" w:rsidP="00CF5685">
      <w:pPr>
        <w:pStyle w:val="Heading3"/>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5) </w:t>
      </w:r>
      <w:r w:rsidR="00DE2092" w:rsidRPr="00CF5685">
        <w:rPr>
          <w:rFonts w:asciiTheme="minorHAnsi" w:eastAsiaTheme="majorEastAsia" w:hAnsiTheme="minorHAnsi" w:cstheme="minorHAnsi"/>
        </w:rPr>
        <w:t xml:space="preserve">Durabilité </w:t>
      </w:r>
    </w:p>
    <w:p w14:paraId="152D89EC" w14:textId="77777777" w:rsidR="00DE2092" w:rsidRPr="00CF5685" w:rsidRDefault="00DE2092" w:rsidP="00CF5685">
      <w:pPr>
        <w:pStyle w:val="Heading4"/>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Institutionnelle</w:t>
      </w:r>
    </w:p>
    <w:p w14:paraId="17287280" w14:textId="055D4973"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Les réseaux d’</w:t>
      </w:r>
      <w:proofErr w:type="spellStart"/>
      <w:r w:rsidRPr="00343F08">
        <w:rPr>
          <w:rFonts w:cstheme="minorHAnsi"/>
          <w:lang w:eastAsia="fr-FR"/>
        </w:rPr>
        <w:t>entrepreneur</w:t>
      </w:r>
      <w:r w:rsidR="00ED57A6" w:rsidRPr="00343F08">
        <w:rPr>
          <w:rFonts w:cstheme="minorHAnsi"/>
          <w:lang w:eastAsia="fr-FR"/>
        </w:rPr>
        <w:t>.</w:t>
      </w:r>
      <w:proofErr w:type="gramStart"/>
      <w:r w:rsidR="00ED57A6" w:rsidRPr="00343F08">
        <w:rPr>
          <w:rFonts w:cstheme="minorHAnsi"/>
          <w:lang w:eastAsia="fr-FR"/>
        </w:rPr>
        <w:t>e.s</w:t>
      </w:r>
      <w:proofErr w:type="spellEnd"/>
      <w:proofErr w:type="gramEnd"/>
      <w:r w:rsidR="00ED57A6" w:rsidRPr="00343F08">
        <w:rPr>
          <w:rFonts w:cstheme="minorHAnsi"/>
          <w:lang w:eastAsia="fr-FR"/>
        </w:rPr>
        <w:t xml:space="preserve"> </w:t>
      </w:r>
      <w:r w:rsidRPr="00343F08">
        <w:rPr>
          <w:rFonts w:cstheme="minorHAnsi"/>
          <w:lang w:eastAsia="fr-FR"/>
        </w:rPr>
        <w:t>et les partenariats (groupes d’investisseurs, incubateurs) restent-ils actifs sans le soutien du projet ?</w:t>
      </w:r>
    </w:p>
    <w:p w14:paraId="05BD492B" w14:textId="77777777" w:rsidR="00DE2092" w:rsidRPr="00CF5685" w:rsidRDefault="00DE2092" w:rsidP="00CF5685">
      <w:pPr>
        <w:pStyle w:val="Heading4"/>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Financière</w:t>
      </w:r>
    </w:p>
    <w:p w14:paraId="49ACBC57" w14:textId="66D781AA"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Quel pourcentage de start-up ont obtenu des financements ou des revenus additionnels, et quels types de financement étaient les plus accessibles ? </w:t>
      </w:r>
      <w:proofErr w:type="gramStart"/>
      <w:r w:rsidRPr="00343F08">
        <w:rPr>
          <w:rFonts w:cstheme="minorHAnsi"/>
          <w:lang w:eastAsia="fr-FR"/>
        </w:rPr>
        <w:t>Les start-up dirigées</w:t>
      </w:r>
      <w:proofErr w:type="gramEnd"/>
      <w:r w:rsidRPr="00343F08">
        <w:rPr>
          <w:rFonts w:cstheme="minorHAnsi"/>
          <w:lang w:eastAsia="fr-FR"/>
        </w:rPr>
        <w:t xml:space="preserve"> par des femmes ont-elles eu un succès comparable ?</w:t>
      </w:r>
    </w:p>
    <w:p w14:paraId="02C24344" w14:textId="74963C22"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Les entreprises accompagnées sont-elles suffisamment résilientes pour faire face à des chocs (événements climatiques, volatilité des marchés, coupures soudaines de financement) ?</w:t>
      </w:r>
    </w:p>
    <w:p w14:paraId="6D1FEF87" w14:textId="57245D2A"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Dans quelle mesure </w:t>
      </w:r>
      <w:proofErr w:type="gramStart"/>
      <w:r w:rsidRPr="00343F08">
        <w:rPr>
          <w:rFonts w:cstheme="minorHAnsi"/>
          <w:lang w:eastAsia="fr-FR"/>
        </w:rPr>
        <w:t xml:space="preserve">les </w:t>
      </w:r>
      <w:proofErr w:type="spellStart"/>
      <w:r w:rsidRPr="00343F08">
        <w:rPr>
          <w:rFonts w:cstheme="minorHAnsi"/>
          <w:lang w:eastAsia="fr-FR"/>
        </w:rPr>
        <w:t>entrepreneur</w:t>
      </w:r>
      <w:proofErr w:type="gramEnd"/>
      <w:r w:rsidR="00ED57A6" w:rsidRPr="00343F08">
        <w:rPr>
          <w:rFonts w:cstheme="minorHAnsi"/>
          <w:lang w:eastAsia="fr-FR"/>
        </w:rPr>
        <w:t>.</w:t>
      </w:r>
      <w:proofErr w:type="gramStart"/>
      <w:r w:rsidR="00ED57A6" w:rsidRPr="00343F08">
        <w:rPr>
          <w:rFonts w:cstheme="minorHAnsi"/>
          <w:lang w:eastAsia="fr-FR"/>
        </w:rPr>
        <w:t>e.s</w:t>
      </w:r>
      <w:proofErr w:type="spellEnd"/>
      <w:proofErr w:type="gramEnd"/>
      <w:r w:rsidR="00ED57A6" w:rsidRPr="00343F08">
        <w:rPr>
          <w:rFonts w:cstheme="minorHAnsi"/>
          <w:lang w:eastAsia="fr-FR"/>
        </w:rPr>
        <w:t xml:space="preserve"> </w:t>
      </w:r>
      <w:r w:rsidRPr="00343F08">
        <w:rPr>
          <w:rFonts w:cstheme="minorHAnsi"/>
          <w:lang w:eastAsia="fr-FR"/>
        </w:rPr>
        <w:t>sont-ils prêts à maintenir et à développer leurs entreprises de manière autonome ?</w:t>
      </w:r>
    </w:p>
    <w:p w14:paraId="7D34F883" w14:textId="228C44A9" w:rsidR="00DE2092" w:rsidRPr="00CF5685" w:rsidRDefault="00ED57A6" w:rsidP="00CF5685">
      <w:pPr>
        <w:pStyle w:val="Heading3"/>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6) </w:t>
      </w:r>
      <w:r w:rsidR="00DE2092" w:rsidRPr="00CF5685">
        <w:rPr>
          <w:rFonts w:asciiTheme="minorHAnsi" w:eastAsiaTheme="majorEastAsia" w:hAnsiTheme="minorHAnsi" w:cstheme="minorHAnsi"/>
        </w:rPr>
        <w:t>Scalabilité</w:t>
      </w:r>
    </w:p>
    <w:p w14:paraId="742EBE23" w14:textId="2916F5D1"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Quelles approches devraient être répliquées ou mises à l’échelle ?</w:t>
      </w:r>
    </w:p>
    <w:p w14:paraId="40412AFE" w14:textId="70E1196E"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Existe-t-il un vivier suffisant de start-up </w:t>
      </w:r>
      <w:r w:rsidR="00ED57A6" w:rsidRPr="00343F08">
        <w:rPr>
          <w:rFonts w:cstheme="minorHAnsi"/>
          <w:lang w:eastAsia="fr-FR"/>
        </w:rPr>
        <w:t>vertes</w:t>
      </w:r>
      <w:r w:rsidRPr="00343F08">
        <w:rPr>
          <w:rFonts w:cstheme="minorHAnsi"/>
          <w:lang w:eastAsia="fr-FR"/>
        </w:rPr>
        <w:t xml:space="preserve"> dirigées par des jeunes et des femmes pour pérenniser et étendre le modèle d’incubation sur le long terme ?</w:t>
      </w:r>
    </w:p>
    <w:p w14:paraId="1F1B29DE" w14:textId="06998E3F"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 xml:space="preserve">Quels sont les facteurs de succès et les défis critiques pour étendre l’approche complète de l’incubateur (idéation → incubation → accélération → </w:t>
      </w:r>
      <w:proofErr w:type="spellStart"/>
      <w:r w:rsidR="00ED57A6" w:rsidRPr="00343F08">
        <w:rPr>
          <w:rFonts w:cstheme="minorHAnsi"/>
          <w:lang w:eastAsia="fr-FR"/>
        </w:rPr>
        <w:t>scaling</w:t>
      </w:r>
      <w:proofErr w:type="spellEnd"/>
      <w:r w:rsidRPr="00343F08">
        <w:rPr>
          <w:rFonts w:cstheme="minorHAnsi"/>
          <w:lang w:eastAsia="fr-FR"/>
        </w:rPr>
        <w:t>) ?</w:t>
      </w:r>
    </w:p>
    <w:p w14:paraId="601E2FEC" w14:textId="382F671E"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Quels mécanismes financiers ou institutionnels sont nécessaires pour étendre durablement le modèle au-delà du cycle actuel du projet ?</w:t>
      </w:r>
    </w:p>
    <w:p w14:paraId="778CA02C" w14:textId="76883B38" w:rsidR="00DE2092" w:rsidRPr="00CF5685" w:rsidRDefault="00ED57A6" w:rsidP="00CF5685">
      <w:pPr>
        <w:pStyle w:val="Heading3"/>
        <w:spacing w:before="0" w:beforeAutospacing="0" w:after="120" w:afterAutospacing="0"/>
        <w:jc w:val="both"/>
        <w:rPr>
          <w:rFonts w:asciiTheme="minorHAnsi" w:eastAsiaTheme="majorEastAsia" w:hAnsiTheme="minorHAnsi" w:cstheme="minorHAnsi"/>
        </w:rPr>
      </w:pPr>
      <w:r w:rsidRPr="00CF5685">
        <w:rPr>
          <w:rFonts w:asciiTheme="minorHAnsi" w:eastAsiaTheme="majorEastAsia" w:hAnsiTheme="minorHAnsi" w:cstheme="minorHAnsi"/>
        </w:rPr>
        <w:t xml:space="preserve">7) </w:t>
      </w:r>
      <w:r w:rsidR="00DE2092" w:rsidRPr="00CF5685">
        <w:rPr>
          <w:rFonts w:asciiTheme="minorHAnsi" w:eastAsiaTheme="majorEastAsia" w:hAnsiTheme="minorHAnsi" w:cstheme="minorHAnsi"/>
        </w:rPr>
        <w:t xml:space="preserve">Changement le plus significatif (Most </w:t>
      </w:r>
      <w:proofErr w:type="spellStart"/>
      <w:r w:rsidR="00DE2092" w:rsidRPr="00CF5685">
        <w:rPr>
          <w:rFonts w:asciiTheme="minorHAnsi" w:eastAsiaTheme="majorEastAsia" w:hAnsiTheme="minorHAnsi" w:cstheme="minorHAnsi"/>
        </w:rPr>
        <w:t>Significant</w:t>
      </w:r>
      <w:proofErr w:type="spellEnd"/>
      <w:r w:rsidR="00DE2092" w:rsidRPr="00CF5685">
        <w:rPr>
          <w:rFonts w:asciiTheme="minorHAnsi" w:eastAsiaTheme="majorEastAsia" w:hAnsiTheme="minorHAnsi" w:cstheme="minorHAnsi"/>
        </w:rPr>
        <w:t xml:space="preserve"> Change)</w:t>
      </w:r>
    </w:p>
    <w:p w14:paraId="6740BE42" w14:textId="0D93A984"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t>Quel a été le changement le plus transformateur apporté par le projet à votre start-up ? (Désagrégation par genre et région)</w:t>
      </w:r>
    </w:p>
    <w:p w14:paraId="39CFDE6A" w14:textId="74DAE898" w:rsidR="00DE2092" w:rsidRPr="00343F08" w:rsidRDefault="00DE2092" w:rsidP="00CF5685">
      <w:pPr>
        <w:pStyle w:val="ListParagraph"/>
        <w:numPr>
          <w:ilvl w:val="0"/>
          <w:numId w:val="31"/>
        </w:numPr>
        <w:spacing w:after="120"/>
        <w:jc w:val="both"/>
        <w:rPr>
          <w:rFonts w:cstheme="minorHAnsi"/>
          <w:lang w:eastAsia="fr-FR"/>
        </w:rPr>
      </w:pPr>
      <w:r w:rsidRPr="00343F08">
        <w:rPr>
          <w:rFonts w:cstheme="minorHAnsi"/>
          <w:lang w:eastAsia="fr-FR"/>
        </w:rPr>
        <w:lastRenderedPageBreak/>
        <w:t>Comment le projet a-t-il modifié votre capacité à accéder au financement et aux opportunités d’investissement ?</w:t>
      </w:r>
    </w:p>
    <w:p w14:paraId="6C74EBD3" w14:textId="396D0F66" w:rsidR="00DE2092" w:rsidRPr="00343F08" w:rsidRDefault="00DE2092" w:rsidP="00CF5685">
      <w:pPr>
        <w:pStyle w:val="ListParagraph"/>
        <w:numPr>
          <w:ilvl w:val="0"/>
          <w:numId w:val="31"/>
        </w:numPr>
        <w:spacing w:after="0" w:line="240" w:lineRule="auto"/>
        <w:jc w:val="both"/>
        <w:rPr>
          <w:rFonts w:cstheme="minorHAnsi"/>
        </w:rPr>
      </w:pPr>
      <w:r w:rsidRPr="00343F08">
        <w:rPr>
          <w:rFonts w:cstheme="minorHAnsi"/>
          <w:lang w:eastAsia="fr-FR"/>
        </w:rPr>
        <w:t xml:space="preserve">Quel a été le changement le plus important dans l’intérêt des investisseurs, institutions ou acteurs de l’écosystème pour financer </w:t>
      </w:r>
      <w:proofErr w:type="gramStart"/>
      <w:r w:rsidRPr="00343F08">
        <w:rPr>
          <w:rFonts w:cstheme="minorHAnsi"/>
          <w:lang w:eastAsia="fr-FR"/>
        </w:rPr>
        <w:t>les start-up</w:t>
      </w:r>
      <w:proofErr w:type="gramEnd"/>
      <w:r w:rsidRPr="00343F08">
        <w:rPr>
          <w:rFonts w:cstheme="minorHAnsi"/>
          <w:lang w:eastAsia="fr-FR"/>
        </w:rPr>
        <w:t xml:space="preserve"> </w:t>
      </w:r>
      <w:r w:rsidR="00ED57A6" w:rsidRPr="00343F08">
        <w:rPr>
          <w:rFonts w:cstheme="minorHAnsi"/>
          <w:lang w:eastAsia="fr-FR"/>
        </w:rPr>
        <w:t>vertes</w:t>
      </w:r>
      <w:r w:rsidRPr="00343F08">
        <w:rPr>
          <w:rFonts w:cstheme="minorHAnsi"/>
          <w:lang w:eastAsia="fr-FR"/>
        </w:rPr>
        <w:t xml:space="preserve"> dirigées par des jeunes ou des femmes grâce au projet ?</w:t>
      </w:r>
    </w:p>
    <w:sectPr w:rsidR="00DE2092" w:rsidRPr="00343F08" w:rsidSect="00F002A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74BB" w14:textId="77777777" w:rsidR="001C1F24" w:rsidRDefault="001C1F24" w:rsidP="000B100D">
      <w:pPr>
        <w:spacing w:after="0" w:line="240" w:lineRule="auto"/>
      </w:pPr>
      <w:r>
        <w:separator/>
      </w:r>
    </w:p>
  </w:endnote>
  <w:endnote w:type="continuationSeparator" w:id="0">
    <w:p w14:paraId="6B9DAA37" w14:textId="77777777" w:rsidR="001C1F24" w:rsidRDefault="001C1F24" w:rsidP="000B100D">
      <w:pPr>
        <w:spacing w:after="0" w:line="240" w:lineRule="auto"/>
      </w:pPr>
      <w:r>
        <w:continuationSeparator/>
      </w:r>
    </w:p>
  </w:endnote>
  <w:endnote w:id="1">
    <w:p w14:paraId="6D9FE4CD" w14:textId="25FBFBD3" w:rsidR="000B100D" w:rsidRDefault="000B100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AAED" w14:textId="77777777" w:rsidR="001C1F24" w:rsidRDefault="001C1F24" w:rsidP="000B100D">
      <w:pPr>
        <w:spacing w:after="0" w:line="240" w:lineRule="auto"/>
      </w:pPr>
      <w:r>
        <w:separator/>
      </w:r>
    </w:p>
  </w:footnote>
  <w:footnote w:type="continuationSeparator" w:id="0">
    <w:p w14:paraId="28835159" w14:textId="77777777" w:rsidR="001C1F24" w:rsidRDefault="001C1F24" w:rsidP="000B100D">
      <w:pPr>
        <w:spacing w:after="0" w:line="240" w:lineRule="auto"/>
      </w:pPr>
      <w:r>
        <w:continuationSeparator/>
      </w:r>
    </w:p>
  </w:footnote>
  <w:footnote w:id="1">
    <w:p w14:paraId="13578D0A" w14:textId="537A8C6C" w:rsidR="00DE2092" w:rsidRDefault="00DE2092">
      <w:pPr>
        <w:pStyle w:val="FootnoteText"/>
      </w:pPr>
      <w:r>
        <w:rPr>
          <w:rStyle w:val="FootnoteReference"/>
        </w:rPr>
        <w:footnoteRef/>
      </w:r>
      <w:r>
        <w:t xml:space="preserve"> Se référer aux questions d’évaluation, en fin de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173"/>
    <w:multiLevelType w:val="hybridMultilevel"/>
    <w:tmpl w:val="30ACAC38"/>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37EB5"/>
    <w:multiLevelType w:val="multilevel"/>
    <w:tmpl w:val="543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11E3"/>
    <w:multiLevelType w:val="hybridMultilevel"/>
    <w:tmpl w:val="C888B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F658C"/>
    <w:multiLevelType w:val="multilevel"/>
    <w:tmpl w:val="0322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22447"/>
    <w:multiLevelType w:val="hybridMultilevel"/>
    <w:tmpl w:val="E64A2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B39F4"/>
    <w:multiLevelType w:val="hybridMultilevel"/>
    <w:tmpl w:val="0256E9B0"/>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62AB9"/>
    <w:multiLevelType w:val="hybridMultilevel"/>
    <w:tmpl w:val="A63848A6"/>
    <w:lvl w:ilvl="0" w:tplc="CA7C8B2C">
      <w:start w:val="1"/>
      <w:numFmt w:val="decimal"/>
      <w:lvlText w:val="%1-"/>
      <w:lvlJc w:val="left"/>
      <w:pPr>
        <w:ind w:left="720" w:hanging="360"/>
      </w:pPr>
      <w:rPr>
        <w:rFonts w:ascii="Times New Roman" w:hAnsi="Times New Roman"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BD4D33"/>
    <w:multiLevelType w:val="hybridMultilevel"/>
    <w:tmpl w:val="CBB46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32E53"/>
    <w:multiLevelType w:val="multilevel"/>
    <w:tmpl w:val="C3D2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051EE"/>
    <w:multiLevelType w:val="hybridMultilevel"/>
    <w:tmpl w:val="DEE20F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A932DF"/>
    <w:multiLevelType w:val="hybridMultilevel"/>
    <w:tmpl w:val="8BD87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7A2433"/>
    <w:multiLevelType w:val="multilevel"/>
    <w:tmpl w:val="D7C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E7C9D"/>
    <w:multiLevelType w:val="hybridMultilevel"/>
    <w:tmpl w:val="B7B8ABD2"/>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320718"/>
    <w:multiLevelType w:val="multilevel"/>
    <w:tmpl w:val="B90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F1C24"/>
    <w:multiLevelType w:val="hybridMultilevel"/>
    <w:tmpl w:val="6252544A"/>
    <w:lvl w:ilvl="0" w:tplc="C002B4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CD671D"/>
    <w:multiLevelType w:val="hybridMultilevel"/>
    <w:tmpl w:val="225A2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9C110D"/>
    <w:multiLevelType w:val="hybridMultilevel"/>
    <w:tmpl w:val="957A0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04506A"/>
    <w:multiLevelType w:val="multilevel"/>
    <w:tmpl w:val="50983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B7070"/>
    <w:multiLevelType w:val="hybridMultilevel"/>
    <w:tmpl w:val="9ADECA8E"/>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A4A96"/>
    <w:multiLevelType w:val="hybridMultilevel"/>
    <w:tmpl w:val="64BA9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201804"/>
    <w:multiLevelType w:val="hybridMultilevel"/>
    <w:tmpl w:val="ED00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60F2A"/>
    <w:multiLevelType w:val="hybridMultilevel"/>
    <w:tmpl w:val="D88E8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37DFD"/>
    <w:multiLevelType w:val="hybridMultilevel"/>
    <w:tmpl w:val="CDC45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C7579"/>
    <w:multiLevelType w:val="hybridMultilevel"/>
    <w:tmpl w:val="7CAEBB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BA61F1"/>
    <w:multiLevelType w:val="multilevel"/>
    <w:tmpl w:val="5B3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00204"/>
    <w:multiLevelType w:val="multilevel"/>
    <w:tmpl w:val="1A0811B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9E562AF"/>
    <w:multiLevelType w:val="hybridMultilevel"/>
    <w:tmpl w:val="64F459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AE4241D"/>
    <w:multiLevelType w:val="hybridMultilevel"/>
    <w:tmpl w:val="681A2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FD6596"/>
    <w:multiLevelType w:val="hybridMultilevel"/>
    <w:tmpl w:val="F95CE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1B3C85"/>
    <w:multiLevelType w:val="hybridMultilevel"/>
    <w:tmpl w:val="F028E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F4137"/>
    <w:multiLevelType w:val="multilevel"/>
    <w:tmpl w:val="27E0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650DEA"/>
    <w:multiLevelType w:val="hybridMultilevel"/>
    <w:tmpl w:val="11D81080"/>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F0149E"/>
    <w:multiLevelType w:val="hybridMultilevel"/>
    <w:tmpl w:val="357AE40E"/>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5B0CD4"/>
    <w:multiLevelType w:val="multilevel"/>
    <w:tmpl w:val="B1489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11731F"/>
    <w:multiLevelType w:val="multilevel"/>
    <w:tmpl w:val="6DC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0250A"/>
    <w:multiLevelType w:val="hybridMultilevel"/>
    <w:tmpl w:val="3D5EC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FB49AF"/>
    <w:multiLevelType w:val="hybridMultilevel"/>
    <w:tmpl w:val="34C6E8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39419A"/>
    <w:multiLevelType w:val="multilevel"/>
    <w:tmpl w:val="EACE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96C9C"/>
    <w:multiLevelType w:val="hybridMultilevel"/>
    <w:tmpl w:val="1884EB36"/>
    <w:lvl w:ilvl="0" w:tplc="5FB06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3E44FB"/>
    <w:multiLevelType w:val="hybridMultilevel"/>
    <w:tmpl w:val="47F86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1251DA"/>
    <w:multiLevelType w:val="hybridMultilevel"/>
    <w:tmpl w:val="97D2E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293501"/>
    <w:multiLevelType w:val="hybridMultilevel"/>
    <w:tmpl w:val="B62899A0"/>
    <w:lvl w:ilvl="0" w:tplc="0E5AD9EE">
      <w:start w:val="1"/>
      <w:numFmt w:val="decimal"/>
      <w:lvlText w:val="%1-"/>
      <w:lvlJc w:val="left"/>
      <w:pPr>
        <w:ind w:left="360" w:hanging="360"/>
      </w:pPr>
      <w:rPr>
        <w:rFonts w:asciiTheme="majorHAnsi" w:hAnsiTheme="majorHAnsi" w:cstheme="majorHAnsi"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BDD2096"/>
    <w:multiLevelType w:val="hybridMultilevel"/>
    <w:tmpl w:val="92B4A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97527E"/>
    <w:multiLevelType w:val="multilevel"/>
    <w:tmpl w:val="0264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55969">
    <w:abstractNumId w:val="8"/>
  </w:num>
  <w:num w:numId="2" w16cid:durableId="115032639">
    <w:abstractNumId w:val="33"/>
  </w:num>
  <w:num w:numId="3" w16cid:durableId="1798448693">
    <w:abstractNumId w:val="34"/>
  </w:num>
  <w:num w:numId="4" w16cid:durableId="1032850988">
    <w:abstractNumId w:val="43"/>
  </w:num>
  <w:num w:numId="5" w16cid:durableId="411394819">
    <w:abstractNumId w:val="11"/>
  </w:num>
  <w:num w:numId="6" w16cid:durableId="267082899">
    <w:abstractNumId w:val="17"/>
  </w:num>
  <w:num w:numId="7" w16cid:durableId="1034885788">
    <w:abstractNumId w:val="36"/>
  </w:num>
  <w:num w:numId="8" w16cid:durableId="1804690520">
    <w:abstractNumId w:val="30"/>
  </w:num>
  <w:num w:numId="9" w16cid:durableId="681250207">
    <w:abstractNumId w:val="3"/>
  </w:num>
  <w:num w:numId="10" w16cid:durableId="825240823">
    <w:abstractNumId w:val="38"/>
  </w:num>
  <w:num w:numId="11" w16cid:durableId="962346472">
    <w:abstractNumId w:val="12"/>
  </w:num>
  <w:num w:numId="12" w16cid:durableId="734936835">
    <w:abstractNumId w:val="31"/>
  </w:num>
  <w:num w:numId="13" w16cid:durableId="1434086025">
    <w:abstractNumId w:val="0"/>
  </w:num>
  <w:num w:numId="14" w16cid:durableId="209654348">
    <w:abstractNumId w:val="18"/>
  </w:num>
  <w:num w:numId="15" w16cid:durableId="183247570">
    <w:abstractNumId w:val="5"/>
  </w:num>
  <w:num w:numId="16" w16cid:durableId="677659329">
    <w:abstractNumId w:val="32"/>
  </w:num>
  <w:num w:numId="17" w16cid:durableId="97221472">
    <w:abstractNumId w:val="6"/>
  </w:num>
  <w:num w:numId="18" w16cid:durableId="968438678">
    <w:abstractNumId w:val="25"/>
  </w:num>
  <w:num w:numId="19" w16cid:durableId="788400225">
    <w:abstractNumId w:val="14"/>
  </w:num>
  <w:num w:numId="20" w16cid:durableId="1885410167">
    <w:abstractNumId w:val="26"/>
  </w:num>
  <w:num w:numId="21" w16cid:durableId="116341395">
    <w:abstractNumId w:val="15"/>
  </w:num>
  <w:num w:numId="22" w16cid:durableId="134035590">
    <w:abstractNumId w:val="41"/>
  </w:num>
  <w:num w:numId="23" w16cid:durableId="1879389065">
    <w:abstractNumId w:val="19"/>
  </w:num>
  <w:num w:numId="24" w16cid:durableId="1099175624">
    <w:abstractNumId w:val="35"/>
  </w:num>
  <w:num w:numId="25" w16cid:durableId="293217858">
    <w:abstractNumId w:val="10"/>
  </w:num>
  <w:num w:numId="26" w16cid:durableId="2027293265">
    <w:abstractNumId w:val="27"/>
  </w:num>
  <w:num w:numId="27" w16cid:durableId="1702894673">
    <w:abstractNumId w:val="4"/>
  </w:num>
  <w:num w:numId="28" w16cid:durableId="2001762448">
    <w:abstractNumId w:val="16"/>
  </w:num>
  <w:num w:numId="29" w16cid:durableId="1725176447">
    <w:abstractNumId w:val="23"/>
  </w:num>
  <w:num w:numId="30" w16cid:durableId="1882815367">
    <w:abstractNumId w:val="9"/>
  </w:num>
  <w:num w:numId="31" w16cid:durableId="1832670245">
    <w:abstractNumId w:val="22"/>
  </w:num>
  <w:num w:numId="32" w16cid:durableId="197859748">
    <w:abstractNumId w:val="2"/>
  </w:num>
  <w:num w:numId="33" w16cid:durableId="1470247381">
    <w:abstractNumId w:val="29"/>
  </w:num>
  <w:num w:numId="34" w16cid:durableId="328751360">
    <w:abstractNumId w:val="21"/>
  </w:num>
  <w:num w:numId="35" w16cid:durableId="647706937">
    <w:abstractNumId w:val="42"/>
  </w:num>
  <w:num w:numId="36" w16cid:durableId="758254510">
    <w:abstractNumId w:val="28"/>
  </w:num>
  <w:num w:numId="37" w16cid:durableId="1095443065">
    <w:abstractNumId w:val="20"/>
  </w:num>
  <w:num w:numId="38" w16cid:durableId="203253248">
    <w:abstractNumId w:val="39"/>
  </w:num>
  <w:num w:numId="39" w16cid:durableId="1996108994">
    <w:abstractNumId w:val="40"/>
  </w:num>
  <w:num w:numId="40" w16cid:durableId="1492059241">
    <w:abstractNumId w:val="7"/>
  </w:num>
  <w:num w:numId="41" w16cid:durableId="1907253604">
    <w:abstractNumId w:val="37"/>
  </w:num>
  <w:num w:numId="42" w16cid:durableId="1553997224">
    <w:abstractNumId w:val="13"/>
  </w:num>
  <w:num w:numId="43" w16cid:durableId="207303043">
    <w:abstractNumId w:val="1"/>
  </w:num>
  <w:num w:numId="44" w16cid:durableId="1492213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0D"/>
    <w:rsid w:val="000118C1"/>
    <w:rsid w:val="000744B3"/>
    <w:rsid w:val="000B07EB"/>
    <w:rsid w:val="000B100D"/>
    <w:rsid w:val="00164D1D"/>
    <w:rsid w:val="001C1F24"/>
    <w:rsid w:val="002963B6"/>
    <w:rsid w:val="002B5837"/>
    <w:rsid w:val="002B6CA8"/>
    <w:rsid w:val="00343F08"/>
    <w:rsid w:val="003723C6"/>
    <w:rsid w:val="003D6B82"/>
    <w:rsid w:val="00593673"/>
    <w:rsid w:val="005F4FD6"/>
    <w:rsid w:val="00611590"/>
    <w:rsid w:val="006372D4"/>
    <w:rsid w:val="006A1211"/>
    <w:rsid w:val="007268DB"/>
    <w:rsid w:val="008D51C1"/>
    <w:rsid w:val="00934CA9"/>
    <w:rsid w:val="009B34F2"/>
    <w:rsid w:val="009B5C84"/>
    <w:rsid w:val="009D22A2"/>
    <w:rsid w:val="00B47807"/>
    <w:rsid w:val="00BE1EFB"/>
    <w:rsid w:val="00C5217C"/>
    <w:rsid w:val="00C94458"/>
    <w:rsid w:val="00CC1974"/>
    <w:rsid w:val="00CF5685"/>
    <w:rsid w:val="00D43F3A"/>
    <w:rsid w:val="00DA282C"/>
    <w:rsid w:val="00DE2092"/>
    <w:rsid w:val="00E74464"/>
    <w:rsid w:val="00E83EBE"/>
    <w:rsid w:val="00ED57A6"/>
    <w:rsid w:val="00F002AB"/>
    <w:rsid w:val="00F812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F509"/>
  <w15:chartTrackingRefBased/>
  <w15:docId w15:val="{40E15F1E-AEB1-4222-B05F-B376A34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1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B100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link w:val="Heading4Char"/>
    <w:uiPriority w:val="9"/>
    <w:qFormat/>
    <w:rsid w:val="000B100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00D"/>
    <w:rPr>
      <w:rFonts w:ascii="Times New Roman" w:eastAsia="Times New Roman" w:hAnsi="Times New Roman" w:cs="Times New Roman"/>
      <w:b/>
      <w:bCs/>
      <w:kern w:val="0"/>
      <w:sz w:val="27"/>
      <w:szCs w:val="27"/>
      <w:lang w:eastAsia="fr-FR"/>
      <w14:ligatures w14:val="none"/>
    </w:rPr>
  </w:style>
  <w:style w:type="character" w:customStyle="1" w:styleId="Heading4Char">
    <w:name w:val="Heading 4 Char"/>
    <w:basedOn w:val="DefaultParagraphFont"/>
    <w:link w:val="Heading4"/>
    <w:uiPriority w:val="9"/>
    <w:rsid w:val="000B100D"/>
    <w:rPr>
      <w:rFonts w:ascii="Times New Roman" w:eastAsia="Times New Roman" w:hAnsi="Times New Roman" w:cs="Times New Roman"/>
      <w:b/>
      <w:bCs/>
      <w:kern w:val="0"/>
      <w:sz w:val="24"/>
      <w:szCs w:val="24"/>
      <w:lang w:eastAsia="fr-FR"/>
      <w14:ligatures w14:val="none"/>
    </w:rPr>
  </w:style>
  <w:style w:type="paragraph" w:styleId="NormalWeb">
    <w:name w:val="Normal (Web)"/>
    <w:basedOn w:val="Normal"/>
    <w:uiPriority w:val="99"/>
    <w:semiHidden/>
    <w:unhideWhenUsed/>
    <w:rsid w:val="000B100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dnoteText">
    <w:name w:val="endnote text"/>
    <w:basedOn w:val="Normal"/>
    <w:link w:val="EndnoteTextChar"/>
    <w:uiPriority w:val="99"/>
    <w:semiHidden/>
    <w:unhideWhenUsed/>
    <w:rsid w:val="000B10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00D"/>
    <w:rPr>
      <w:sz w:val="20"/>
      <w:szCs w:val="20"/>
    </w:rPr>
  </w:style>
  <w:style w:type="character" w:styleId="EndnoteReference">
    <w:name w:val="endnote reference"/>
    <w:basedOn w:val="DefaultParagraphFont"/>
    <w:uiPriority w:val="99"/>
    <w:semiHidden/>
    <w:unhideWhenUsed/>
    <w:rsid w:val="000B100D"/>
    <w:rPr>
      <w:vertAlign w:val="superscript"/>
    </w:rPr>
  </w:style>
  <w:style w:type="paragraph" w:styleId="ListParagraph">
    <w:name w:val="List Paragraph"/>
    <w:basedOn w:val="Normal"/>
    <w:uiPriority w:val="34"/>
    <w:qFormat/>
    <w:rsid w:val="000B100D"/>
    <w:pPr>
      <w:ind w:left="720"/>
      <w:contextualSpacing/>
    </w:pPr>
  </w:style>
  <w:style w:type="paragraph" w:styleId="Header">
    <w:name w:val="header"/>
    <w:basedOn w:val="Normal"/>
    <w:link w:val="HeaderChar"/>
    <w:uiPriority w:val="99"/>
    <w:unhideWhenUsed/>
    <w:rsid w:val="000B10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100D"/>
  </w:style>
  <w:style w:type="paragraph" w:styleId="Footer">
    <w:name w:val="footer"/>
    <w:basedOn w:val="Normal"/>
    <w:link w:val="FooterChar"/>
    <w:uiPriority w:val="99"/>
    <w:unhideWhenUsed/>
    <w:rsid w:val="000B10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100D"/>
  </w:style>
  <w:style w:type="character" w:customStyle="1" w:styleId="Heading2Char">
    <w:name w:val="Heading 2 Char"/>
    <w:basedOn w:val="DefaultParagraphFont"/>
    <w:link w:val="Heading2"/>
    <w:uiPriority w:val="9"/>
    <w:rsid w:val="000B100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B100D"/>
    <w:rPr>
      <w:b/>
      <w:bCs/>
    </w:rPr>
  </w:style>
  <w:style w:type="character" w:styleId="Emphasis">
    <w:name w:val="Emphasis"/>
    <w:basedOn w:val="DefaultParagraphFont"/>
    <w:uiPriority w:val="20"/>
    <w:qFormat/>
    <w:rsid w:val="00F002AB"/>
    <w:rPr>
      <w:i/>
      <w:iCs/>
    </w:rPr>
  </w:style>
  <w:style w:type="character" w:customStyle="1" w:styleId="Heading1Char">
    <w:name w:val="Heading 1 Char"/>
    <w:basedOn w:val="DefaultParagraphFont"/>
    <w:link w:val="Heading1"/>
    <w:uiPriority w:val="9"/>
    <w:rsid w:val="00F002A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5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092"/>
    <w:rPr>
      <w:sz w:val="20"/>
      <w:szCs w:val="20"/>
    </w:rPr>
  </w:style>
  <w:style w:type="character" w:styleId="FootnoteReference">
    <w:name w:val="footnote reference"/>
    <w:basedOn w:val="DefaultParagraphFont"/>
    <w:uiPriority w:val="99"/>
    <w:semiHidden/>
    <w:unhideWhenUsed/>
    <w:rsid w:val="00DE2092"/>
    <w:rPr>
      <w:vertAlign w:val="superscript"/>
    </w:rPr>
  </w:style>
  <w:style w:type="paragraph" w:styleId="Revision">
    <w:name w:val="Revision"/>
    <w:hidden/>
    <w:uiPriority w:val="99"/>
    <w:semiHidden/>
    <w:rsid w:val="00E74464"/>
    <w:pPr>
      <w:spacing w:after="0" w:line="240" w:lineRule="auto"/>
    </w:pPr>
  </w:style>
  <w:style w:type="character" w:styleId="Hyperlink">
    <w:name w:val="Hyperlink"/>
    <w:basedOn w:val="DefaultParagraphFont"/>
    <w:uiPriority w:val="99"/>
    <w:unhideWhenUsed/>
    <w:rsid w:val="00CC1974"/>
    <w:rPr>
      <w:color w:val="0563C1" w:themeColor="hyperlink"/>
      <w:u w:val="single"/>
    </w:rPr>
  </w:style>
  <w:style w:type="character" w:styleId="UnresolvedMention">
    <w:name w:val="Unresolved Mention"/>
    <w:basedOn w:val="DefaultParagraphFont"/>
    <w:uiPriority w:val="99"/>
    <w:semiHidden/>
    <w:unhideWhenUsed/>
    <w:rsid w:val="00CC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9234">
      <w:bodyDiv w:val="1"/>
      <w:marLeft w:val="0"/>
      <w:marRight w:val="0"/>
      <w:marTop w:val="0"/>
      <w:marBottom w:val="0"/>
      <w:divBdr>
        <w:top w:val="none" w:sz="0" w:space="0" w:color="auto"/>
        <w:left w:val="none" w:sz="0" w:space="0" w:color="auto"/>
        <w:bottom w:val="none" w:sz="0" w:space="0" w:color="auto"/>
        <w:right w:val="none" w:sz="0" w:space="0" w:color="auto"/>
      </w:divBdr>
    </w:div>
    <w:div w:id="300159150">
      <w:bodyDiv w:val="1"/>
      <w:marLeft w:val="0"/>
      <w:marRight w:val="0"/>
      <w:marTop w:val="0"/>
      <w:marBottom w:val="0"/>
      <w:divBdr>
        <w:top w:val="none" w:sz="0" w:space="0" w:color="auto"/>
        <w:left w:val="none" w:sz="0" w:space="0" w:color="auto"/>
        <w:bottom w:val="none" w:sz="0" w:space="0" w:color="auto"/>
        <w:right w:val="none" w:sz="0" w:space="0" w:color="auto"/>
      </w:divBdr>
    </w:div>
    <w:div w:id="373777651">
      <w:bodyDiv w:val="1"/>
      <w:marLeft w:val="0"/>
      <w:marRight w:val="0"/>
      <w:marTop w:val="0"/>
      <w:marBottom w:val="0"/>
      <w:divBdr>
        <w:top w:val="none" w:sz="0" w:space="0" w:color="auto"/>
        <w:left w:val="none" w:sz="0" w:space="0" w:color="auto"/>
        <w:bottom w:val="none" w:sz="0" w:space="0" w:color="auto"/>
        <w:right w:val="none" w:sz="0" w:space="0" w:color="auto"/>
      </w:divBdr>
    </w:div>
    <w:div w:id="17340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areast.bamboohr.com/careers/491?source=aWQ9MTM%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B6B2-9E6D-A045-8A6C-D6147DFB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3422</Words>
  <Characters>19511</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kabak</dc:creator>
  <cp:keywords/>
  <dc:description/>
  <cp:lastModifiedBy>Sipan Khoshnaw</cp:lastModifiedBy>
  <cp:revision>4</cp:revision>
  <dcterms:created xsi:type="dcterms:W3CDTF">2025-11-28T12:05:00Z</dcterms:created>
  <dcterms:modified xsi:type="dcterms:W3CDTF">2025-12-03T12:20:00Z</dcterms:modified>
</cp:coreProperties>
</file>