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50" w:rsidRDefault="00E50D50" w:rsidP="00FF3656">
      <w:pPr>
        <w:jc w:val="center"/>
        <w:rPr>
          <w:b/>
          <w:bCs/>
          <w:sz w:val="28"/>
          <w:szCs w:val="28"/>
        </w:rPr>
      </w:pPr>
      <w:r w:rsidRPr="00E50D50">
        <w:rPr>
          <w:b/>
          <w:bCs/>
          <w:noProof/>
          <w:sz w:val="28"/>
          <w:szCs w:val="28"/>
          <w:lang w:eastAsia="fr-FR"/>
        </w:rPr>
        <w:drawing>
          <wp:anchor distT="0" distB="0" distL="114300" distR="114300" simplePos="0" relativeHeight="251660288" behindDoc="0" locked="0" layoutInCell="1" allowOverlap="1">
            <wp:simplePos x="0" y="0"/>
            <wp:positionH relativeFrom="column">
              <wp:posOffset>2319655</wp:posOffset>
            </wp:positionH>
            <wp:positionV relativeFrom="paragraph">
              <wp:posOffset>-385445</wp:posOffset>
            </wp:positionV>
            <wp:extent cx="1219200" cy="1261745"/>
            <wp:effectExtent l="0" t="0" r="0" b="0"/>
            <wp:wrapSquare wrapText="bothSides"/>
            <wp:docPr id="1" name="Image 1" descr="C:\Users\HP-\Documents\Coaching Territorial\PRIM\LOGO Asso Jeunesse Optimist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oaching Territorial\PRIM\LOGO Asso Jeunesse Optimiste .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9200" cy="1261745"/>
                    </a:xfrm>
                    <a:prstGeom prst="rect">
                      <a:avLst/>
                    </a:prstGeom>
                    <a:noFill/>
                    <a:ln>
                      <a:noFill/>
                    </a:ln>
                  </pic:spPr>
                </pic:pic>
              </a:graphicData>
            </a:graphic>
          </wp:anchor>
        </w:drawing>
      </w:r>
    </w:p>
    <w:p w:rsidR="00E50D50" w:rsidRDefault="00E50D50" w:rsidP="00FF3656">
      <w:pPr>
        <w:jc w:val="center"/>
        <w:rPr>
          <w:b/>
          <w:bCs/>
          <w:sz w:val="28"/>
          <w:szCs w:val="28"/>
        </w:rPr>
      </w:pPr>
    </w:p>
    <w:p w:rsidR="00E50D50" w:rsidRDefault="006864CF" w:rsidP="00FF3656">
      <w:pPr>
        <w:jc w:val="center"/>
        <w:rPr>
          <w:b/>
          <w:bCs/>
          <w:sz w:val="28"/>
          <w:szCs w:val="28"/>
        </w:rPr>
      </w:pPr>
      <w:r>
        <w:rPr>
          <w:b/>
          <w:bCs/>
          <w:noProof/>
          <w:sz w:val="28"/>
          <w:szCs w:val="28"/>
          <w:lang w:eastAsia="fr-FR"/>
        </w:rPr>
        <w:pict>
          <v:rect id="Rectangle 2" o:spid="_x0000_s1026" style="position:absolute;left:0;text-align:left;margin-left:113.65pt;margin-top:14.15pt;width:24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" fillcolor="white [3201]" stroked="f" strokeweight="1pt">
            <v:textbox>
              <w:txbxContent>
                <w:p w:rsidR="00E50D50" w:rsidRPr="00B56FD2" w:rsidRDefault="00E50D50" w:rsidP="00E50D50">
                  <w:pPr>
                    <w:jc w:val="center"/>
                    <w:rPr>
                      <w:b/>
                      <w:bCs/>
                      <w:i/>
                      <w:iCs/>
                      <w:sz w:val="24"/>
                      <w:szCs w:val="24"/>
                    </w:rPr>
                  </w:pPr>
                  <w:r w:rsidRPr="00B56FD2">
                    <w:rPr>
                      <w:b/>
                      <w:bCs/>
                      <w:i/>
                      <w:iCs/>
                      <w:sz w:val="24"/>
                      <w:szCs w:val="24"/>
                    </w:rPr>
                    <w:t xml:space="preserve">Association Jeunesse Optimiste </w:t>
                  </w:r>
                </w:p>
              </w:txbxContent>
            </v:textbox>
          </v:rect>
        </w:pict>
      </w:r>
    </w:p>
    <w:p w:rsidR="00E50D50" w:rsidRDefault="00E50D50" w:rsidP="00FF3656">
      <w:pPr>
        <w:jc w:val="center"/>
        <w:rPr>
          <w:b/>
          <w:bCs/>
          <w:sz w:val="28"/>
          <w:szCs w:val="28"/>
        </w:rPr>
      </w:pPr>
    </w:p>
    <w:p w:rsidR="00FF3656" w:rsidRPr="00E50D50" w:rsidRDefault="00FF3656" w:rsidP="00E50D50">
      <w:pPr>
        <w:shd w:val="clear" w:color="auto" w:fill="DAE9F7" w:themeFill="text2" w:themeFillTint="1A"/>
        <w:jc w:val="center"/>
        <w:rPr>
          <w:b/>
          <w:bCs/>
          <w:color w:val="C00000"/>
          <w:sz w:val="32"/>
          <w:szCs w:val="36"/>
        </w:rPr>
      </w:pPr>
      <w:r w:rsidRPr="00E50D50">
        <w:rPr>
          <w:b/>
          <w:bCs/>
          <w:color w:val="C00000"/>
          <w:sz w:val="32"/>
          <w:szCs w:val="36"/>
        </w:rPr>
        <w:t>Termes de référence</w:t>
      </w:r>
    </w:p>
    <w:p w:rsidR="00E50D50" w:rsidRPr="00E21D91" w:rsidRDefault="00E50D50" w:rsidP="00E50D50">
      <w:pPr>
        <w:jc w:val="center"/>
        <w:rPr>
          <w:b/>
          <w:bCs/>
          <w:color w:val="215E99" w:themeColor="text2" w:themeTint="BF"/>
          <w:sz w:val="28"/>
          <w:szCs w:val="28"/>
        </w:rPr>
      </w:pPr>
      <w:r w:rsidRPr="00E21D91">
        <w:rPr>
          <w:b/>
          <w:bCs/>
          <w:color w:val="215E99" w:themeColor="text2" w:themeTint="BF"/>
          <w:sz w:val="28"/>
          <w:szCs w:val="28"/>
        </w:rPr>
        <w:t>Programme Régional des Initiatives de la Migration (PRIM)</w:t>
      </w:r>
    </w:p>
    <w:p w:rsidR="00724EC5" w:rsidRDefault="00724EC5" w:rsidP="00074148">
      <w:pPr>
        <w:jc w:val="center"/>
        <w:rPr>
          <w:rFonts w:ascii="Aharoni" w:hAnsi="Aharoni" w:cs="Aharoni"/>
          <w:b/>
          <w:bCs/>
          <w:sz w:val="24"/>
          <w:szCs w:val="24"/>
        </w:rPr>
      </w:pPr>
      <w:r w:rsidRPr="00724EC5">
        <w:rPr>
          <w:rFonts w:ascii="Aharoni" w:hAnsi="Aharoni" w:cs="Aharoni"/>
          <w:b/>
          <w:bCs/>
          <w:sz w:val="24"/>
          <w:szCs w:val="24"/>
        </w:rPr>
        <w:t>Un Guide d’Accès à l’information et aux entités de l’écosystème entrepreneurial dans la région de l’Oriental (Sociogramme)</w:t>
      </w:r>
    </w:p>
    <w:p w:rsidR="00FF3656" w:rsidRPr="00FF3656" w:rsidRDefault="00FF3656" w:rsidP="00FF3656">
      <w:pPr>
        <w:rPr>
          <w:b/>
          <w:bCs/>
          <w:u w:val="single"/>
        </w:rPr>
      </w:pPr>
      <w:r w:rsidRPr="00FF3656">
        <w:rPr>
          <w:b/>
          <w:bCs/>
          <w:u w:val="single"/>
        </w:rPr>
        <w:t>1. CONTEXTE ET JUSTIFICATION</w:t>
      </w:r>
      <w:bookmarkStart w:id="0" w:name="_GoBack"/>
      <w:bookmarkEnd w:id="0"/>
    </w:p>
    <w:p w:rsidR="00660E6F" w:rsidRDefault="00FF3656" w:rsidP="00E50D50">
      <w:pPr>
        <w:jc w:val="both"/>
      </w:pPr>
      <w:r>
        <w:t xml:space="preserve">La région de l'Oriental du Maroc </w:t>
      </w:r>
      <w:proofErr w:type="spellStart"/>
      <w:r>
        <w:t>connaît</w:t>
      </w:r>
      <w:proofErr w:type="spellEnd"/>
      <w:r>
        <w:t xml:space="preserve"> actuellement une transformation significative de son paysage </w:t>
      </w:r>
      <w:proofErr w:type="spellStart"/>
      <w:r>
        <w:t>socio-économique</w:t>
      </w:r>
      <w:proofErr w:type="spellEnd"/>
      <w:r>
        <w:t xml:space="preserve">, notamment à travers l'accueil d'une importante population d'étudiants subsahariens. </w:t>
      </w:r>
    </w:p>
    <w:p w:rsidR="00724EC5" w:rsidRDefault="00660E6F" w:rsidP="00724EC5">
      <w:pPr>
        <w:jc w:val="both"/>
      </w:pPr>
      <w:r>
        <w:t xml:space="preserve">Dans le cadre du </w:t>
      </w:r>
      <w:r>
        <w:rPr>
          <w:b/>
          <w:bCs/>
          <w:i/>
          <w:iCs/>
        </w:rPr>
        <w:t>Programme Régional d’Initiatives de la Migration (PRIM),</w:t>
      </w:r>
      <w:r>
        <w:t xml:space="preserve"> financé par l’Agence Française de Développement et mis en œuvre par Expertise France et en partenariat avec les acteurs régionaux, Conseil de la région de l’oriental et la Wilaya de l’Oriental,  </w:t>
      </w:r>
      <w:r>
        <w:rPr>
          <w:b/>
          <w:bCs/>
        </w:rPr>
        <w:t xml:space="preserve">L’Association Jeunesse Optimiste </w:t>
      </w:r>
      <w:r>
        <w:t xml:space="preserve">a bénéficié d’un financement du programme régional d’initiatives de la Migration </w:t>
      </w:r>
      <w:r>
        <w:rPr>
          <w:b/>
          <w:bCs/>
        </w:rPr>
        <w:t>PRIM</w:t>
      </w:r>
      <w:r>
        <w:t xml:space="preserve"> pour une durée de 10 mois pour la mise en œuvre d’un projet intitulé "</w:t>
      </w:r>
      <w:r>
        <w:rPr>
          <w:b/>
          <w:bCs/>
        </w:rPr>
        <w:t>TAWASOL ORIENTAL</w:t>
      </w:r>
      <w:r>
        <w:t xml:space="preserve">" qui vise à capitaliser sur cette richesse humaine en proposant </w:t>
      </w:r>
      <w:r w:rsidR="00AA1912">
        <w:t xml:space="preserve">la création </w:t>
      </w:r>
      <w:r w:rsidR="00724EC5">
        <w:t>d’un guide</w:t>
      </w:r>
      <w:r w:rsidR="00AA1912" w:rsidRPr="00AA1912">
        <w:t xml:space="preserve"> </w:t>
      </w:r>
      <w:r w:rsidR="00724EC5" w:rsidRPr="00724EC5">
        <w:t>d’Accès à l’information et aux entités de l’écosystème entrepreneurial dans la région de l’Oriental</w:t>
      </w:r>
      <w:r w:rsidR="00074148">
        <w:t>.</w:t>
      </w:r>
    </w:p>
    <w:p w:rsidR="00724EC5" w:rsidRPr="00724EC5" w:rsidRDefault="00724EC5" w:rsidP="00724EC5">
      <w:pPr>
        <w:jc w:val="both"/>
      </w:pPr>
      <w:r w:rsidRPr="00724EC5">
        <w:t>Ce guide interactif représente une opportunité unique de :</w:t>
      </w:r>
    </w:p>
    <w:p w:rsidR="00724EC5" w:rsidRPr="00724EC5" w:rsidRDefault="00724EC5" w:rsidP="00724EC5">
      <w:pPr>
        <w:pStyle w:val="Paragraphedeliste"/>
        <w:numPr>
          <w:ilvl w:val="0"/>
          <w:numId w:val="37"/>
        </w:numPr>
      </w:pPr>
      <w:r w:rsidRPr="00724EC5">
        <w:t>Rassembler les différentes parties prenantes de l’écosystème entrepreneurial régional.</w:t>
      </w:r>
    </w:p>
    <w:p w:rsidR="00724EC5" w:rsidRPr="00724EC5" w:rsidRDefault="00724EC5" w:rsidP="00724EC5">
      <w:pPr>
        <w:pStyle w:val="Paragraphedeliste"/>
        <w:numPr>
          <w:ilvl w:val="0"/>
          <w:numId w:val="37"/>
        </w:numPr>
      </w:pPr>
      <w:r w:rsidRPr="00724EC5">
        <w:t>Favoriser l'échange de ressources et d'expertise entre les acteurs locaux.</w:t>
      </w:r>
    </w:p>
    <w:p w:rsidR="00724EC5" w:rsidRPr="00724EC5" w:rsidRDefault="00724EC5" w:rsidP="00724EC5">
      <w:pPr>
        <w:pStyle w:val="Paragraphedeliste"/>
        <w:numPr>
          <w:ilvl w:val="0"/>
          <w:numId w:val="37"/>
        </w:numPr>
      </w:pPr>
      <w:r w:rsidRPr="00724EC5">
        <w:t>Mettre à jour et partager des informations pertinentes en temps réel.</w:t>
      </w:r>
    </w:p>
    <w:p w:rsidR="00724EC5" w:rsidRPr="00724EC5" w:rsidRDefault="00724EC5" w:rsidP="00724EC5">
      <w:pPr>
        <w:pStyle w:val="Paragraphedeliste"/>
        <w:numPr>
          <w:ilvl w:val="0"/>
          <w:numId w:val="37"/>
        </w:numPr>
      </w:pPr>
      <w:r w:rsidRPr="00724EC5">
        <w:t>Offrir des ressources pratiques sous forme de guides téléchargeables pour soutenir les projets entrepreneuriaux.</w:t>
      </w:r>
    </w:p>
    <w:p w:rsidR="00FF3656" w:rsidRDefault="00FF3656" w:rsidP="00FF3656">
      <w:pPr>
        <w:spacing w:after="0"/>
      </w:pPr>
    </w:p>
    <w:p w:rsidR="00FF3656" w:rsidRPr="00FF3656" w:rsidRDefault="00FF3656" w:rsidP="00FF3656">
      <w:pPr>
        <w:rPr>
          <w:b/>
          <w:bCs/>
          <w:u w:val="single"/>
        </w:rPr>
      </w:pPr>
      <w:r w:rsidRPr="00FF3656">
        <w:rPr>
          <w:b/>
          <w:bCs/>
          <w:u w:val="single"/>
        </w:rPr>
        <w:t>2. OBJECTIFS</w:t>
      </w:r>
    </w:p>
    <w:p w:rsidR="00FF3656" w:rsidRDefault="00FF3656" w:rsidP="00FF3656">
      <w:pPr>
        <w:rPr>
          <w:i/>
          <w:iCs/>
        </w:rPr>
      </w:pPr>
      <w:r w:rsidRPr="00FF3656">
        <w:rPr>
          <w:i/>
          <w:iCs/>
        </w:rPr>
        <w:t>2.1 Objectif Général</w:t>
      </w:r>
    </w:p>
    <w:p w:rsidR="00A6499E" w:rsidRPr="005C27C1" w:rsidRDefault="00A6499E" w:rsidP="005C27C1">
      <w:r w:rsidRPr="005C27C1">
        <w:t xml:space="preserve">  </w:t>
      </w:r>
      <w:r w:rsidR="005C27C1" w:rsidRPr="005C27C1">
        <w:t>L’objectif général de ce projet est d’élaborer un Guide d’Accès à l’information et aux entités de l’écosystème entrepreneurial dans la région de l’Oriental sous forme de sociogramme interactif, facilitant l’accès des entrepreneurs aux acteurs clés, ressources et services disponibles pour le développement de leurs projets.</w:t>
      </w:r>
    </w:p>
    <w:p w:rsidR="00FF3656" w:rsidRPr="00FF3656" w:rsidRDefault="00FF3656" w:rsidP="00FF3656">
      <w:pPr>
        <w:rPr>
          <w:i/>
          <w:iCs/>
        </w:rPr>
      </w:pPr>
      <w:r w:rsidRPr="00FF3656">
        <w:rPr>
          <w:i/>
          <w:iCs/>
        </w:rPr>
        <w:t>2.2 Objectifs Spécifiques</w:t>
      </w:r>
    </w:p>
    <w:p w:rsidR="005C27C1" w:rsidRPr="005C27C1" w:rsidRDefault="005C27C1" w:rsidP="005C27C1">
      <w:pPr>
        <w:pStyle w:val="Paragraphedeliste"/>
        <w:numPr>
          <w:ilvl w:val="0"/>
          <w:numId w:val="25"/>
        </w:numPr>
      </w:pPr>
      <w:r w:rsidRPr="005C27C1">
        <w:t>Cartographier les acteurs clés de l’écosystème entrepreneurial dans la région de l’Oriental.</w:t>
      </w:r>
    </w:p>
    <w:p w:rsidR="005C27C1" w:rsidRPr="005C27C1" w:rsidRDefault="005C27C1" w:rsidP="005C27C1">
      <w:pPr>
        <w:pStyle w:val="Paragraphedeliste"/>
        <w:numPr>
          <w:ilvl w:val="0"/>
          <w:numId w:val="25"/>
        </w:numPr>
      </w:pPr>
      <w:r w:rsidRPr="005C27C1">
        <w:t>Élaborer un sociogramme interactif représentant les relations entre les différents acteurs et leurs services.</w:t>
      </w:r>
    </w:p>
    <w:p w:rsidR="005C27C1" w:rsidRPr="005C27C1" w:rsidRDefault="005C27C1" w:rsidP="005C27C1">
      <w:pPr>
        <w:pStyle w:val="Paragraphedeliste"/>
        <w:numPr>
          <w:ilvl w:val="0"/>
          <w:numId w:val="25"/>
        </w:numPr>
      </w:pPr>
      <w:r w:rsidRPr="005C27C1">
        <w:t>Faciliter l’accès à l’information sur les ressources et services disponibles pour les entrepreneurs.</w:t>
      </w:r>
    </w:p>
    <w:p w:rsidR="005C27C1" w:rsidRPr="005C27C1" w:rsidRDefault="005C27C1" w:rsidP="005C27C1">
      <w:pPr>
        <w:pStyle w:val="Paragraphedeliste"/>
        <w:numPr>
          <w:ilvl w:val="0"/>
          <w:numId w:val="25"/>
        </w:numPr>
      </w:pPr>
      <w:r w:rsidRPr="005C27C1">
        <w:lastRenderedPageBreak/>
        <w:t>Former et mobiliser les collecteurs de données auprès des institutions locales pour assurer la qualité des informations.</w:t>
      </w:r>
    </w:p>
    <w:p w:rsidR="005C27C1" w:rsidRPr="005C27C1" w:rsidRDefault="005C27C1" w:rsidP="005C27C1">
      <w:pPr>
        <w:pStyle w:val="Paragraphedeliste"/>
        <w:numPr>
          <w:ilvl w:val="0"/>
          <w:numId w:val="25"/>
        </w:numPr>
      </w:pPr>
      <w:r w:rsidRPr="005C27C1">
        <w:t>Valider le guide avec les parties prenantes pour garantir sa pertinence et son efficacité.</w:t>
      </w:r>
    </w:p>
    <w:p w:rsidR="00FF3656" w:rsidRPr="00FF3656" w:rsidRDefault="00FF3656" w:rsidP="00FF3656">
      <w:pPr>
        <w:rPr>
          <w:b/>
          <w:bCs/>
          <w:u w:val="single"/>
        </w:rPr>
      </w:pPr>
    </w:p>
    <w:p w:rsidR="00FF3656" w:rsidRPr="00FF3656" w:rsidRDefault="00FF3656" w:rsidP="00FF3656">
      <w:pPr>
        <w:rPr>
          <w:b/>
          <w:bCs/>
          <w:u w:val="single"/>
        </w:rPr>
      </w:pPr>
      <w:r w:rsidRPr="00FF3656">
        <w:rPr>
          <w:b/>
          <w:bCs/>
          <w:u w:val="single"/>
        </w:rPr>
        <w:t>3. FORMAT ET CONTENU</w:t>
      </w:r>
    </w:p>
    <w:p w:rsidR="00FF3656" w:rsidRPr="00FF3656" w:rsidRDefault="00FF3656" w:rsidP="0045444F">
      <w:pPr>
        <w:rPr>
          <w:i/>
          <w:iCs/>
        </w:rPr>
      </w:pPr>
      <w:r w:rsidRPr="00FF3656">
        <w:rPr>
          <w:i/>
          <w:iCs/>
        </w:rPr>
        <w:t>3.1 Structure d</w:t>
      </w:r>
      <w:r w:rsidR="0045444F">
        <w:rPr>
          <w:i/>
          <w:iCs/>
        </w:rPr>
        <w:t xml:space="preserve">u guide </w:t>
      </w:r>
    </w:p>
    <w:p w:rsidR="005C27C1" w:rsidRPr="005C27C1" w:rsidRDefault="005C27C1" w:rsidP="005C27C1">
      <w:r w:rsidRPr="005C27C1">
        <w:t>Le guide interactif comprendra :</w:t>
      </w:r>
    </w:p>
    <w:p w:rsidR="005C27C1" w:rsidRPr="005C27C1" w:rsidRDefault="005C27C1" w:rsidP="005C27C1">
      <w:pPr>
        <w:pStyle w:val="Paragraphedeliste"/>
        <w:numPr>
          <w:ilvl w:val="0"/>
          <w:numId w:val="27"/>
        </w:numPr>
      </w:pPr>
      <w:r w:rsidRPr="005C27C1">
        <w:t>Cartographie des acteurs sous forme de sociogramme, montrant les relations et services disponibles.</w:t>
      </w:r>
    </w:p>
    <w:p w:rsidR="005C27C1" w:rsidRPr="005C27C1" w:rsidRDefault="005C27C1" w:rsidP="005C27C1">
      <w:pPr>
        <w:pStyle w:val="Paragraphedeliste"/>
        <w:numPr>
          <w:ilvl w:val="0"/>
          <w:numId w:val="27"/>
        </w:numPr>
      </w:pPr>
      <w:r w:rsidRPr="005C27C1">
        <w:t>Mobilisation des collecteurs de données (honoraires + déplacements) pour recueillir les informations auprès des institutions.</w:t>
      </w:r>
    </w:p>
    <w:p w:rsidR="005C27C1" w:rsidRPr="005C27C1" w:rsidRDefault="005C27C1" w:rsidP="005C27C1">
      <w:pPr>
        <w:pStyle w:val="Paragraphedeliste"/>
        <w:numPr>
          <w:ilvl w:val="0"/>
          <w:numId w:val="27"/>
        </w:numPr>
      </w:pPr>
      <w:r w:rsidRPr="005C27C1">
        <w:t>Honoraires pour la cartographie interactive, inclus dans le développement et la présentation du guide.</w:t>
      </w:r>
    </w:p>
    <w:p w:rsidR="003F1D57" w:rsidRPr="003F1D57" w:rsidRDefault="003F1D57" w:rsidP="0045444F">
      <w:pPr>
        <w:rPr>
          <w:i/>
          <w:iCs/>
        </w:rPr>
      </w:pPr>
      <w:r w:rsidRPr="003F1D57">
        <w:rPr>
          <w:i/>
          <w:iCs/>
        </w:rPr>
        <w:t>3.2 Contenu d</w:t>
      </w:r>
      <w:r w:rsidR="0045444F">
        <w:rPr>
          <w:i/>
          <w:iCs/>
        </w:rPr>
        <w:t xml:space="preserve">u guide </w:t>
      </w:r>
    </w:p>
    <w:p w:rsidR="0045444F" w:rsidRPr="0045444F" w:rsidRDefault="0045444F" w:rsidP="0045444F">
      <w:pPr>
        <w:spacing w:before="100" w:beforeAutospacing="1" w:after="100" w:afterAutospacing="1" w:line="240" w:lineRule="auto"/>
      </w:pPr>
      <w:r w:rsidRPr="0045444F">
        <w:t>Le guide sera structuré comme suit :</w:t>
      </w:r>
    </w:p>
    <w:p w:rsidR="0045444F" w:rsidRPr="0045444F" w:rsidRDefault="0045444F" w:rsidP="0045444F">
      <w:pPr>
        <w:numPr>
          <w:ilvl w:val="0"/>
          <w:numId w:val="28"/>
        </w:numPr>
        <w:spacing w:before="100" w:beforeAutospacing="1" w:after="100" w:afterAutospacing="1" w:line="240" w:lineRule="auto"/>
      </w:pPr>
      <w:r w:rsidRPr="0045444F">
        <w:t>Présentation du projet : Introduction aux objectifs du guide, son rôle dans l'écosystème entrepreneurial et son importance pour les entrepreneurs dans la région de l'Oriental.</w:t>
      </w:r>
    </w:p>
    <w:p w:rsidR="0045444F" w:rsidRPr="0045444F" w:rsidRDefault="0045444F" w:rsidP="0045444F">
      <w:pPr>
        <w:numPr>
          <w:ilvl w:val="0"/>
          <w:numId w:val="28"/>
        </w:numPr>
        <w:spacing w:before="100" w:beforeAutospacing="1" w:after="100" w:afterAutospacing="1" w:line="240" w:lineRule="auto"/>
      </w:pPr>
      <w:r w:rsidRPr="0045444F">
        <w:t>Cartographie des acteurs : Un sociogramme interactif représentant les différents acteurs de l'écosystème entrepreneurial (incubateurs, investisseurs, institutions, etc.), avec une visualisation des relations et des services offerts.</w:t>
      </w:r>
    </w:p>
    <w:p w:rsidR="0045444F" w:rsidRPr="0045444F" w:rsidRDefault="0045444F" w:rsidP="0045444F">
      <w:pPr>
        <w:numPr>
          <w:ilvl w:val="0"/>
          <w:numId w:val="28"/>
        </w:numPr>
        <w:spacing w:before="100" w:beforeAutospacing="1" w:after="100" w:afterAutospacing="1" w:line="240" w:lineRule="auto"/>
      </w:pPr>
      <w:r w:rsidRPr="0045444F">
        <w:t>Détails des acteurs : Des fiches informatives pour chaque acteur clé (nom, description, services offerts, contacts, conditions d'accès, etc.), permettant aux entrepreneurs d'identifier les ressources et de savoir comment entrer en contact.</w:t>
      </w:r>
    </w:p>
    <w:p w:rsidR="0045444F" w:rsidRPr="0045444F" w:rsidRDefault="0045444F" w:rsidP="0045444F">
      <w:pPr>
        <w:numPr>
          <w:ilvl w:val="0"/>
          <w:numId w:val="28"/>
        </w:numPr>
        <w:spacing w:before="100" w:beforeAutospacing="1" w:after="100" w:afterAutospacing="1" w:line="240" w:lineRule="auto"/>
      </w:pPr>
      <w:r w:rsidRPr="0045444F">
        <w:t>Ressources et services : Une section détaillant les services disponibles pour les entrepreneurs (financement, formations, accompagnement, conseils, etc.), avec des liens directs vers les organismes concernés.</w:t>
      </w:r>
    </w:p>
    <w:p w:rsidR="0045444F" w:rsidRPr="0045444F" w:rsidRDefault="0045444F" w:rsidP="0045444F">
      <w:pPr>
        <w:numPr>
          <w:ilvl w:val="0"/>
          <w:numId w:val="28"/>
        </w:numPr>
        <w:spacing w:before="100" w:beforeAutospacing="1" w:after="100" w:afterAutospacing="1" w:line="240" w:lineRule="auto"/>
      </w:pPr>
      <w:r w:rsidRPr="0045444F">
        <w:t>Procédures d'accès : Explications claires sur la manière d'accéder aux différents services, y compris les démarches administratives, les critères de sélection, et les processus d'inscription ou de demande.</w:t>
      </w:r>
    </w:p>
    <w:p w:rsidR="00FF3656" w:rsidRDefault="00FF3656" w:rsidP="00FF3656"/>
    <w:p w:rsidR="003F1D57" w:rsidRDefault="00FF3656" w:rsidP="003F1D57">
      <w:pPr>
        <w:rPr>
          <w:b/>
          <w:bCs/>
        </w:rPr>
      </w:pPr>
      <w:r w:rsidRPr="00FF3656">
        <w:rPr>
          <w:b/>
          <w:bCs/>
        </w:rPr>
        <w:t>4. MODALITÉS DE PARTICIPATION</w:t>
      </w:r>
    </w:p>
    <w:p w:rsidR="003F1D57" w:rsidRPr="003F1D57" w:rsidRDefault="003F1D57" w:rsidP="003F1D57">
      <w:pPr>
        <w:rPr>
          <w:b/>
          <w:bCs/>
        </w:rPr>
      </w:pPr>
      <w:r w:rsidRPr="003F1D57">
        <w:rPr>
          <w:i/>
          <w:iCs/>
        </w:rPr>
        <w:t>4.1 Profil des participants</w:t>
      </w:r>
    </w:p>
    <w:p w:rsidR="0045444F" w:rsidRPr="004E3824" w:rsidRDefault="0045444F" w:rsidP="004E3824">
      <w:pPr>
        <w:spacing w:before="100" w:beforeAutospacing="1" w:after="100" w:afterAutospacing="1" w:line="240" w:lineRule="auto"/>
      </w:pPr>
      <w:r w:rsidRPr="004E3824">
        <w:t>Les participants au projet incluront :</w:t>
      </w:r>
    </w:p>
    <w:p w:rsidR="0045444F" w:rsidRPr="0045444F" w:rsidRDefault="0045444F" w:rsidP="0045444F">
      <w:pPr>
        <w:numPr>
          <w:ilvl w:val="0"/>
          <w:numId w:val="29"/>
        </w:numPr>
        <w:spacing w:before="100" w:beforeAutospacing="1" w:after="100" w:afterAutospacing="1" w:line="240" w:lineRule="auto"/>
      </w:pPr>
      <w:r w:rsidRPr="0045444F">
        <w:t>Collecteurs de données : Personnes qualifiées et formées pour recueillir des informations auprès des institutions locales.</w:t>
      </w:r>
    </w:p>
    <w:p w:rsidR="0045444F" w:rsidRPr="0045444F" w:rsidRDefault="0045444F" w:rsidP="0045444F">
      <w:pPr>
        <w:numPr>
          <w:ilvl w:val="0"/>
          <w:numId w:val="29"/>
        </w:numPr>
        <w:spacing w:before="100" w:beforeAutospacing="1" w:after="100" w:afterAutospacing="1" w:line="240" w:lineRule="auto"/>
      </w:pPr>
      <w:r w:rsidRPr="0045444F">
        <w:t>Acteurs de l’écosystème entrepreneurial : Incubateurs, investisseurs, institutions publiques et privées, et autres acteurs clés soutenant l’entrepreneuriat dans la région.</w:t>
      </w:r>
    </w:p>
    <w:p w:rsidR="0045444F" w:rsidRPr="0045444F" w:rsidRDefault="0045444F" w:rsidP="0045444F">
      <w:pPr>
        <w:numPr>
          <w:ilvl w:val="0"/>
          <w:numId w:val="29"/>
        </w:numPr>
        <w:spacing w:before="100" w:beforeAutospacing="1" w:after="100" w:afterAutospacing="1" w:line="240" w:lineRule="auto"/>
      </w:pPr>
      <w:r w:rsidRPr="0045444F">
        <w:t>Développeurs et concepteurs : Experts en cartographie interactive pour la création de la plateforme et du sociogramme.</w:t>
      </w:r>
    </w:p>
    <w:p w:rsidR="0045444F" w:rsidRPr="0045444F" w:rsidRDefault="0045444F" w:rsidP="0045444F">
      <w:pPr>
        <w:numPr>
          <w:ilvl w:val="0"/>
          <w:numId w:val="29"/>
        </w:numPr>
        <w:spacing w:before="100" w:beforeAutospacing="1" w:after="100" w:afterAutospacing="1" w:line="240" w:lineRule="auto"/>
      </w:pPr>
      <w:r w:rsidRPr="0045444F">
        <w:t>Entrepreneurs et porteurs de projets : Utilisateurs finaux du guide, ayant besoin d’informations et de ressources pour leur développement.</w:t>
      </w:r>
    </w:p>
    <w:p w:rsidR="00FF3656" w:rsidRPr="00164703" w:rsidRDefault="00FF3656" w:rsidP="00164703">
      <w:pPr>
        <w:rPr>
          <w:b/>
          <w:bCs/>
        </w:rPr>
      </w:pPr>
      <w:r w:rsidRPr="00FF3656">
        <w:rPr>
          <w:b/>
          <w:bCs/>
        </w:rPr>
        <w:lastRenderedPageBreak/>
        <w:t>5. ACCOMPAGNEMENT ET RESSOURCES</w:t>
      </w:r>
    </w:p>
    <w:p w:rsidR="00FF3656" w:rsidRPr="00FF3656" w:rsidRDefault="00164703" w:rsidP="00FF3656">
      <w:pPr>
        <w:rPr>
          <w:i/>
          <w:iCs/>
        </w:rPr>
      </w:pPr>
      <w:r>
        <w:rPr>
          <w:i/>
          <w:iCs/>
        </w:rPr>
        <w:t>5.1</w:t>
      </w:r>
      <w:r w:rsidR="00FF3656" w:rsidRPr="00FF3656">
        <w:rPr>
          <w:i/>
          <w:iCs/>
        </w:rPr>
        <w:t xml:space="preserve"> Ressources mises à disposition</w:t>
      </w:r>
    </w:p>
    <w:p w:rsidR="00164703" w:rsidRPr="00164703" w:rsidRDefault="00164703" w:rsidP="00164703">
      <w:pPr>
        <w:pStyle w:val="Paragraphedeliste"/>
        <w:numPr>
          <w:ilvl w:val="0"/>
          <w:numId w:val="31"/>
        </w:numPr>
      </w:pPr>
      <w:r w:rsidRPr="00164703">
        <w:t>Ressources humaines : Équipe de développeurs, collecteurs de données, et conseillers.</w:t>
      </w:r>
    </w:p>
    <w:p w:rsidR="00164703" w:rsidRPr="00164703" w:rsidRDefault="00164703" w:rsidP="00164703">
      <w:pPr>
        <w:pStyle w:val="Paragraphedeliste"/>
        <w:numPr>
          <w:ilvl w:val="0"/>
          <w:numId w:val="31"/>
        </w:numPr>
      </w:pPr>
      <w:r w:rsidRPr="00164703">
        <w:t>Financement : Budget pour les honoraires, le développement de la cartographie et les frais associés.</w:t>
      </w:r>
    </w:p>
    <w:p w:rsidR="00164703" w:rsidRPr="00164703" w:rsidRDefault="00164703" w:rsidP="00164703">
      <w:pPr>
        <w:pStyle w:val="Paragraphedeliste"/>
        <w:numPr>
          <w:ilvl w:val="0"/>
          <w:numId w:val="31"/>
        </w:numPr>
      </w:pPr>
      <w:r w:rsidRPr="00164703">
        <w:t>Technologies : Outils et logiciels pour la plateforme et la gestion des données.</w:t>
      </w:r>
    </w:p>
    <w:p w:rsidR="00164703" w:rsidRPr="00164703" w:rsidRDefault="00164703" w:rsidP="00164703">
      <w:pPr>
        <w:pStyle w:val="Paragraphedeliste"/>
        <w:numPr>
          <w:ilvl w:val="0"/>
          <w:numId w:val="31"/>
        </w:numPr>
      </w:pPr>
      <w:r w:rsidRPr="00164703">
        <w:t>Partenariats institutionnels : Collaboration avec les institutions locales pour valider les données.</w:t>
      </w:r>
    </w:p>
    <w:p w:rsidR="00164703" w:rsidRPr="00164703" w:rsidRDefault="00164703" w:rsidP="00164703">
      <w:pPr>
        <w:pStyle w:val="Paragraphedeliste"/>
        <w:numPr>
          <w:ilvl w:val="0"/>
          <w:numId w:val="31"/>
        </w:numPr>
      </w:pPr>
      <w:r w:rsidRPr="00164703">
        <w:t>Infrastructure : Espaces de travail, équipements et soutien logistique.</w:t>
      </w:r>
    </w:p>
    <w:p w:rsidR="00FF3656" w:rsidRPr="004E3824" w:rsidRDefault="00FF3656" w:rsidP="00FF3656">
      <w:pPr>
        <w:rPr>
          <w:sz w:val="16"/>
          <w:szCs w:val="16"/>
        </w:rPr>
      </w:pPr>
    </w:p>
    <w:p w:rsidR="00FF3656" w:rsidRPr="00FF3656" w:rsidRDefault="00FD0B0C" w:rsidP="00FF3656">
      <w:pPr>
        <w:rPr>
          <w:b/>
          <w:bCs/>
        </w:rPr>
      </w:pPr>
      <w:r>
        <w:rPr>
          <w:b/>
          <w:bCs/>
        </w:rPr>
        <w:t>6</w:t>
      </w:r>
      <w:r w:rsidR="00FF3656" w:rsidRPr="00FF3656">
        <w:rPr>
          <w:b/>
          <w:bCs/>
        </w:rPr>
        <w:t>. CALENDRIER D'EXÉCUTION</w:t>
      </w:r>
    </w:p>
    <w:p w:rsidR="00FF3656" w:rsidRDefault="00724EC5" w:rsidP="00FF3656">
      <w:r>
        <w:t>6</w:t>
      </w:r>
      <w:r w:rsidR="00FF3656">
        <w:t>.1 Planning préparatoire</w:t>
      </w:r>
    </w:p>
    <w:p w:rsidR="00FF3656" w:rsidRDefault="00FF3656" w:rsidP="00FF3656">
      <w:pPr>
        <w:spacing w:after="0"/>
      </w:pPr>
    </w:p>
    <w:p w:rsidR="00724EC5" w:rsidRPr="00724EC5" w:rsidRDefault="00724EC5" w:rsidP="00724EC5">
      <w:pPr>
        <w:pStyle w:val="Paragraphedeliste"/>
        <w:numPr>
          <w:ilvl w:val="0"/>
          <w:numId w:val="23"/>
        </w:numPr>
      </w:pPr>
      <w:r w:rsidRPr="00724EC5">
        <w:t>Lancement du guide interactif et du sociogramme des acteurs.</w:t>
      </w:r>
    </w:p>
    <w:p w:rsidR="00724EC5" w:rsidRPr="00724EC5" w:rsidRDefault="00724EC5" w:rsidP="00724EC5">
      <w:pPr>
        <w:pStyle w:val="Paragraphedeliste"/>
        <w:numPr>
          <w:ilvl w:val="0"/>
          <w:numId w:val="23"/>
        </w:numPr>
      </w:pPr>
      <w:r w:rsidRPr="00724EC5">
        <w:t>Mise à jour du guide avec les premiers contenus.</w:t>
      </w:r>
    </w:p>
    <w:p w:rsidR="002368A4" w:rsidRDefault="00724EC5" w:rsidP="00724EC5">
      <w:pPr>
        <w:pStyle w:val="Paragraphedeliste"/>
        <w:numPr>
          <w:ilvl w:val="0"/>
          <w:numId w:val="23"/>
        </w:numPr>
      </w:pPr>
      <w:r w:rsidRPr="00724EC5">
        <w:t xml:space="preserve">Publication des premières sections du guide (cartographie, fiches des acteurs, </w:t>
      </w:r>
    </w:p>
    <w:p w:rsidR="00724EC5" w:rsidRDefault="00724EC5" w:rsidP="00724EC5">
      <w:pPr>
        <w:pStyle w:val="Paragraphedeliste"/>
        <w:numPr>
          <w:ilvl w:val="0"/>
          <w:numId w:val="23"/>
        </w:numPr>
      </w:pPr>
      <w:r w:rsidRPr="00724EC5">
        <w:t>ressources).</w:t>
      </w:r>
    </w:p>
    <w:p w:rsidR="002368A4" w:rsidRDefault="002368A4" w:rsidP="002368A4">
      <w:pPr>
        <w:pStyle w:val="Paragraphedeliste"/>
      </w:pPr>
    </w:p>
    <w:p w:rsidR="002368A4" w:rsidRDefault="002368A4" w:rsidP="002368A4">
      <w:pPr>
        <w:pStyle w:val="Paragraphedeliste"/>
        <w:ind w:left="0"/>
      </w:pPr>
      <w:r>
        <w:t>6</w:t>
      </w:r>
      <w:r w:rsidRPr="00131C72">
        <w:t>.</w:t>
      </w:r>
      <w:r>
        <w:t>2</w:t>
      </w:r>
      <w:r w:rsidRPr="00131C72">
        <w:t xml:space="preserve"> BUDGET DÉTAILLÉ ET JUSTIFICATION</w:t>
      </w:r>
    </w:p>
    <w:tbl>
      <w:tblPr>
        <w:tblW w:w="9498" w:type="dxa"/>
        <w:tblInd w:w="-72" w:type="dxa"/>
        <w:tblLayout w:type="fixed"/>
        <w:tblCellMar>
          <w:left w:w="70" w:type="dxa"/>
          <w:right w:w="70" w:type="dxa"/>
        </w:tblCellMar>
        <w:tblLook w:val="04A0"/>
      </w:tblPr>
      <w:tblGrid>
        <w:gridCol w:w="4820"/>
        <w:gridCol w:w="1418"/>
        <w:gridCol w:w="992"/>
        <w:gridCol w:w="992"/>
        <w:gridCol w:w="1276"/>
      </w:tblGrid>
      <w:tr w:rsidR="002368A4" w:rsidRPr="002368A4" w:rsidTr="002368A4">
        <w:trPr>
          <w:trHeight w:val="587"/>
        </w:trPr>
        <w:tc>
          <w:tcPr>
            <w:tcW w:w="48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68A4" w:rsidRPr="00110C28" w:rsidRDefault="002368A4" w:rsidP="00651143">
            <w:pPr>
              <w:spacing w:after="0" w:line="240" w:lineRule="auto"/>
              <w:jc w:val="center"/>
              <w:rPr>
                <w:rFonts w:ascii="Arial" w:eastAsia="Times New Roman" w:hAnsi="Arial" w:cs="Arial"/>
                <w:b/>
                <w:bCs/>
                <w:kern w:val="0"/>
                <w:lang w:eastAsia="fr-FR"/>
              </w:rPr>
            </w:pPr>
            <w:r w:rsidRPr="00110C28">
              <w:rPr>
                <w:rFonts w:ascii="Arial" w:eastAsia="Times New Roman" w:hAnsi="Arial" w:cs="Arial"/>
                <w:b/>
                <w:bCs/>
                <w:kern w:val="0"/>
                <w:lang w:eastAsia="fr-FR"/>
              </w:rPr>
              <w:t>Désignation</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110C28" w:rsidRDefault="002368A4" w:rsidP="00651143">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Unité</w:t>
            </w:r>
          </w:p>
        </w:tc>
        <w:tc>
          <w:tcPr>
            <w:tcW w:w="992"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110C28" w:rsidRDefault="002368A4" w:rsidP="00651143">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quantité</w:t>
            </w:r>
          </w:p>
        </w:tc>
        <w:tc>
          <w:tcPr>
            <w:tcW w:w="992"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110C28" w:rsidRDefault="002368A4" w:rsidP="00651143">
            <w:pPr>
              <w:spacing w:after="0" w:line="240" w:lineRule="auto"/>
              <w:jc w:val="center"/>
              <w:rPr>
                <w:rFonts w:ascii="Arial" w:eastAsia="Times New Roman" w:hAnsi="Arial" w:cs="Arial"/>
                <w:b/>
                <w:bCs/>
                <w:i/>
                <w:iCs/>
                <w:kern w:val="0"/>
                <w:sz w:val="20"/>
                <w:szCs w:val="20"/>
                <w:lang w:eastAsia="fr-FR"/>
              </w:rPr>
            </w:pPr>
            <w:r w:rsidRPr="00110C28">
              <w:rPr>
                <w:rFonts w:ascii="Arial" w:eastAsia="Times New Roman" w:hAnsi="Arial" w:cs="Arial"/>
                <w:b/>
                <w:bCs/>
                <w:i/>
                <w:iCs/>
                <w:kern w:val="0"/>
                <w:sz w:val="20"/>
                <w:szCs w:val="20"/>
                <w:lang w:eastAsia="fr-FR"/>
              </w:rPr>
              <w:t>Prix unitaire</w:t>
            </w:r>
          </w:p>
        </w:tc>
        <w:tc>
          <w:tcPr>
            <w:tcW w:w="1276"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110C28" w:rsidRDefault="002368A4" w:rsidP="00651143">
            <w:pPr>
              <w:spacing w:after="0" w:line="240" w:lineRule="auto"/>
              <w:jc w:val="center"/>
              <w:rPr>
                <w:rFonts w:ascii="Calibri" w:eastAsia="Times New Roman" w:hAnsi="Calibri" w:cs="Times New Roman"/>
                <w:b/>
                <w:bCs/>
                <w:color w:val="000000"/>
                <w:kern w:val="0"/>
                <w:lang w:eastAsia="fr-FR"/>
              </w:rPr>
            </w:pPr>
            <w:r w:rsidRPr="00110C28">
              <w:rPr>
                <w:rFonts w:ascii="Calibri" w:eastAsia="Times New Roman" w:hAnsi="Calibri" w:cs="Times New Roman"/>
                <w:b/>
                <w:bCs/>
                <w:color w:val="000000"/>
                <w:kern w:val="0"/>
                <w:lang w:eastAsia="fr-FR"/>
              </w:rPr>
              <w:t>Montant total</w:t>
            </w:r>
          </w:p>
        </w:tc>
      </w:tr>
      <w:tr w:rsidR="002368A4" w:rsidRPr="002368A4" w:rsidTr="002368A4">
        <w:trPr>
          <w:trHeight w:val="587"/>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368A4" w:rsidRPr="002368A4" w:rsidRDefault="002368A4" w:rsidP="002368A4">
            <w:pPr>
              <w:spacing w:after="0" w:line="240" w:lineRule="auto"/>
              <w:rPr>
                <w:rFonts w:ascii="Arial" w:eastAsia="Times New Roman" w:hAnsi="Arial" w:cs="Arial"/>
                <w:kern w:val="0"/>
                <w:lang w:eastAsia="fr-FR"/>
              </w:rPr>
            </w:pPr>
            <w:r w:rsidRPr="002368A4">
              <w:rPr>
                <w:rFonts w:ascii="Arial" w:eastAsia="Times New Roman" w:hAnsi="Arial" w:cs="Arial"/>
                <w:kern w:val="0"/>
                <w:lang w:eastAsia="fr-FR"/>
              </w:rPr>
              <w:t xml:space="preserve">Mobilisation des </w:t>
            </w:r>
            <w:proofErr w:type="spellStart"/>
            <w:r w:rsidRPr="002368A4">
              <w:rPr>
                <w:rFonts w:ascii="Arial" w:eastAsia="Times New Roman" w:hAnsi="Arial" w:cs="Arial"/>
                <w:kern w:val="0"/>
                <w:lang w:eastAsia="fr-FR"/>
              </w:rPr>
              <w:t>Coclletrice.eurs</w:t>
            </w:r>
            <w:proofErr w:type="spellEnd"/>
            <w:r w:rsidRPr="002368A4">
              <w:rPr>
                <w:rFonts w:ascii="Arial" w:eastAsia="Times New Roman" w:hAnsi="Arial" w:cs="Arial"/>
                <w:kern w:val="0"/>
                <w:lang w:eastAsia="fr-FR"/>
              </w:rPr>
              <w:t xml:space="preserve"> de données auprès des institutions (honoraire +déplacement)</w:t>
            </w:r>
          </w:p>
        </w:tc>
        <w:tc>
          <w:tcPr>
            <w:tcW w:w="1418"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jc w:val="center"/>
              <w:rPr>
                <w:rFonts w:ascii="Arial" w:eastAsia="Times New Roman" w:hAnsi="Arial" w:cs="Arial"/>
                <w:i/>
                <w:iCs/>
                <w:kern w:val="0"/>
                <w:sz w:val="20"/>
                <w:szCs w:val="20"/>
                <w:lang w:eastAsia="fr-FR"/>
              </w:rPr>
            </w:pPr>
            <w:r w:rsidRPr="002368A4">
              <w:rPr>
                <w:rFonts w:ascii="Arial" w:eastAsia="Times New Roman" w:hAnsi="Arial" w:cs="Arial"/>
                <w:i/>
                <w:iCs/>
                <w:kern w:val="0"/>
                <w:sz w:val="20"/>
                <w:szCs w:val="20"/>
                <w:lang w:eastAsia="fr-FR"/>
              </w:rPr>
              <w:t>honoraire/jour</w:t>
            </w:r>
          </w:p>
        </w:tc>
        <w:tc>
          <w:tcPr>
            <w:tcW w:w="992"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2368A4" w:rsidRDefault="002368A4" w:rsidP="004E3824">
            <w:pPr>
              <w:spacing w:after="0" w:line="240" w:lineRule="auto"/>
              <w:jc w:val="center"/>
              <w:rPr>
                <w:rFonts w:ascii="Arial" w:eastAsia="Times New Roman" w:hAnsi="Arial" w:cs="Arial"/>
                <w:i/>
                <w:iCs/>
                <w:kern w:val="0"/>
                <w:sz w:val="20"/>
                <w:szCs w:val="20"/>
                <w:lang w:eastAsia="fr-FR"/>
              </w:rPr>
            </w:pPr>
            <w:r w:rsidRPr="002368A4">
              <w:rPr>
                <w:rFonts w:ascii="Arial" w:eastAsia="Times New Roman" w:hAnsi="Arial" w:cs="Arial"/>
                <w:i/>
                <w:iCs/>
                <w:kern w:val="0"/>
                <w:sz w:val="20"/>
                <w:szCs w:val="20"/>
                <w:lang w:eastAsia="fr-FR"/>
              </w:rPr>
              <w:t>5</w:t>
            </w:r>
          </w:p>
        </w:tc>
        <w:tc>
          <w:tcPr>
            <w:tcW w:w="992"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jc w:val="right"/>
              <w:rPr>
                <w:rFonts w:ascii="Arial" w:eastAsia="Times New Roman" w:hAnsi="Arial" w:cs="Arial"/>
                <w:i/>
                <w:iCs/>
                <w:kern w:val="0"/>
                <w:sz w:val="20"/>
                <w:szCs w:val="20"/>
                <w:lang w:eastAsia="fr-FR"/>
              </w:rPr>
            </w:pPr>
          </w:p>
        </w:tc>
        <w:tc>
          <w:tcPr>
            <w:tcW w:w="1276" w:type="dxa"/>
            <w:tcBorders>
              <w:top w:val="single" w:sz="4" w:space="0" w:color="auto"/>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rPr>
                <w:rFonts w:ascii="Calibri" w:eastAsia="Times New Roman" w:hAnsi="Calibri" w:cs="Times New Roman"/>
                <w:color w:val="000000"/>
                <w:kern w:val="0"/>
                <w:lang w:eastAsia="fr-FR"/>
              </w:rPr>
            </w:pPr>
          </w:p>
        </w:tc>
      </w:tr>
      <w:tr w:rsidR="002368A4" w:rsidRPr="002368A4" w:rsidTr="002368A4">
        <w:trPr>
          <w:trHeight w:val="587"/>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2368A4" w:rsidRPr="002368A4" w:rsidRDefault="002368A4" w:rsidP="002368A4">
            <w:pPr>
              <w:spacing w:after="0" w:line="240" w:lineRule="auto"/>
              <w:rPr>
                <w:rFonts w:ascii="Arial" w:eastAsia="Times New Roman" w:hAnsi="Arial" w:cs="Arial"/>
                <w:kern w:val="0"/>
                <w:lang w:eastAsia="fr-FR"/>
              </w:rPr>
            </w:pPr>
            <w:r w:rsidRPr="002368A4">
              <w:rPr>
                <w:rFonts w:ascii="Arial" w:eastAsia="Times New Roman" w:hAnsi="Arial" w:cs="Arial"/>
                <w:kern w:val="0"/>
                <w:lang w:eastAsia="fr-FR"/>
              </w:rPr>
              <w:t>Honoraire Cartographie Interactive inclus dans la prestation</w:t>
            </w:r>
          </w:p>
        </w:tc>
        <w:tc>
          <w:tcPr>
            <w:tcW w:w="1418" w:type="dxa"/>
            <w:tcBorders>
              <w:top w:val="nil"/>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jc w:val="center"/>
              <w:rPr>
                <w:rFonts w:ascii="Arial" w:eastAsia="Times New Roman" w:hAnsi="Arial" w:cs="Arial"/>
                <w:i/>
                <w:iCs/>
                <w:kern w:val="0"/>
                <w:sz w:val="20"/>
                <w:szCs w:val="20"/>
                <w:lang w:eastAsia="fr-FR"/>
              </w:rPr>
            </w:pPr>
            <w:r w:rsidRPr="002368A4">
              <w:rPr>
                <w:rFonts w:ascii="Arial" w:eastAsia="Times New Roman" w:hAnsi="Arial" w:cs="Arial"/>
                <w:i/>
                <w:iCs/>
                <w:kern w:val="0"/>
                <w:sz w:val="20"/>
                <w:szCs w:val="20"/>
                <w:lang w:eastAsia="fr-FR"/>
              </w:rPr>
              <w:t>jour</w:t>
            </w:r>
          </w:p>
        </w:tc>
        <w:tc>
          <w:tcPr>
            <w:tcW w:w="992" w:type="dxa"/>
            <w:tcBorders>
              <w:top w:val="nil"/>
              <w:left w:val="nil"/>
              <w:bottom w:val="single" w:sz="4" w:space="0" w:color="auto"/>
              <w:right w:val="single" w:sz="4" w:space="0" w:color="auto"/>
            </w:tcBorders>
            <w:shd w:val="clear" w:color="000000" w:fill="E2EFD9"/>
            <w:noWrap/>
            <w:vAlign w:val="center"/>
            <w:hideMark/>
          </w:tcPr>
          <w:p w:rsidR="002368A4" w:rsidRPr="002368A4" w:rsidRDefault="002368A4" w:rsidP="004E3824">
            <w:pPr>
              <w:spacing w:after="0" w:line="240" w:lineRule="auto"/>
              <w:jc w:val="center"/>
              <w:rPr>
                <w:rFonts w:ascii="Arial" w:eastAsia="Times New Roman" w:hAnsi="Arial" w:cs="Arial"/>
                <w:i/>
                <w:iCs/>
                <w:kern w:val="0"/>
                <w:sz w:val="20"/>
                <w:szCs w:val="20"/>
                <w:lang w:eastAsia="fr-FR"/>
              </w:rPr>
            </w:pPr>
            <w:r w:rsidRPr="002368A4">
              <w:rPr>
                <w:rFonts w:ascii="Arial" w:eastAsia="Times New Roman" w:hAnsi="Arial" w:cs="Arial"/>
                <w:i/>
                <w:iCs/>
                <w:kern w:val="0"/>
                <w:sz w:val="20"/>
                <w:szCs w:val="20"/>
                <w:lang w:eastAsia="fr-FR"/>
              </w:rPr>
              <w:t>8</w:t>
            </w:r>
          </w:p>
        </w:tc>
        <w:tc>
          <w:tcPr>
            <w:tcW w:w="992" w:type="dxa"/>
            <w:tcBorders>
              <w:top w:val="nil"/>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jc w:val="right"/>
              <w:rPr>
                <w:rFonts w:ascii="Arial" w:eastAsia="Times New Roman" w:hAnsi="Arial" w:cs="Arial"/>
                <w:i/>
                <w:iCs/>
                <w:kern w:val="0"/>
                <w:sz w:val="20"/>
                <w:szCs w:val="20"/>
                <w:lang w:eastAsia="fr-FR"/>
              </w:rPr>
            </w:pPr>
          </w:p>
        </w:tc>
        <w:tc>
          <w:tcPr>
            <w:tcW w:w="1276" w:type="dxa"/>
            <w:tcBorders>
              <w:top w:val="nil"/>
              <w:left w:val="nil"/>
              <w:bottom w:val="single" w:sz="4" w:space="0" w:color="auto"/>
              <w:right w:val="single" w:sz="4" w:space="0" w:color="auto"/>
            </w:tcBorders>
            <w:shd w:val="clear" w:color="000000" w:fill="E2EFD9"/>
            <w:noWrap/>
            <w:vAlign w:val="center"/>
            <w:hideMark/>
          </w:tcPr>
          <w:p w:rsidR="002368A4" w:rsidRPr="002368A4" w:rsidRDefault="002368A4" w:rsidP="002368A4">
            <w:pPr>
              <w:spacing w:after="0" w:line="240" w:lineRule="auto"/>
              <w:rPr>
                <w:rFonts w:ascii="Calibri" w:eastAsia="Times New Roman" w:hAnsi="Calibri" w:cs="Times New Roman"/>
                <w:color w:val="000000"/>
                <w:kern w:val="0"/>
                <w:lang w:eastAsia="fr-FR"/>
              </w:rPr>
            </w:pPr>
          </w:p>
        </w:tc>
      </w:tr>
      <w:tr w:rsidR="00786F30" w:rsidRPr="002368A4" w:rsidTr="00786F30">
        <w:trPr>
          <w:trHeight w:val="309"/>
        </w:trPr>
        <w:tc>
          <w:tcPr>
            <w:tcW w:w="8222" w:type="dxa"/>
            <w:gridSpan w:val="4"/>
            <w:tcBorders>
              <w:top w:val="nil"/>
              <w:left w:val="single" w:sz="8" w:space="0" w:color="auto"/>
              <w:bottom w:val="single" w:sz="4" w:space="0" w:color="auto"/>
              <w:right w:val="single" w:sz="4" w:space="0" w:color="auto"/>
            </w:tcBorders>
            <w:shd w:val="clear" w:color="000000" w:fill="DEEBF6"/>
            <w:vAlign w:val="center"/>
            <w:hideMark/>
          </w:tcPr>
          <w:p w:rsidR="00786F30" w:rsidRPr="00786F30" w:rsidRDefault="00786F30" w:rsidP="00786F30">
            <w:pPr>
              <w:spacing w:after="0" w:line="240" w:lineRule="auto"/>
              <w:jc w:val="center"/>
              <w:rPr>
                <w:rFonts w:ascii="Arial" w:eastAsia="Times New Roman" w:hAnsi="Arial" w:cs="Arial"/>
                <w:b/>
                <w:bCs/>
                <w:kern w:val="0"/>
                <w:sz w:val="16"/>
                <w:szCs w:val="16"/>
                <w:lang w:eastAsia="fr-FR"/>
              </w:rPr>
            </w:pPr>
          </w:p>
          <w:p w:rsidR="00786F30" w:rsidRPr="00786F30" w:rsidRDefault="00786F30" w:rsidP="00786F30">
            <w:pPr>
              <w:spacing w:after="0" w:line="240" w:lineRule="auto"/>
              <w:jc w:val="center"/>
              <w:rPr>
                <w:rFonts w:ascii="Arial" w:eastAsia="Times New Roman" w:hAnsi="Arial" w:cs="Arial"/>
                <w:b/>
                <w:bCs/>
                <w:kern w:val="0"/>
                <w:sz w:val="20"/>
                <w:szCs w:val="20"/>
                <w:lang w:eastAsia="fr-FR"/>
              </w:rPr>
            </w:pPr>
            <w:r w:rsidRPr="002368A4">
              <w:rPr>
                <w:rFonts w:ascii="Arial" w:eastAsia="Times New Roman" w:hAnsi="Arial" w:cs="Arial"/>
                <w:b/>
                <w:bCs/>
                <w:kern w:val="0"/>
                <w:sz w:val="20"/>
                <w:szCs w:val="20"/>
                <w:lang w:eastAsia="fr-FR"/>
              </w:rPr>
              <w:t>Sous total Activité</w:t>
            </w:r>
          </w:p>
          <w:p w:rsidR="00786F30" w:rsidRPr="002368A4" w:rsidRDefault="00786F30" w:rsidP="00786F30">
            <w:pPr>
              <w:spacing w:after="0" w:line="240" w:lineRule="auto"/>
              <w:jc w:val="center"/>
              <w:rPr>
                <w:rFonts w:ascii="Arial" w:eastAsia="Times New Roman" w:hAnsi="Arial" w:cs="Arial"/>
                <w:i/>
                <w:iCs/>
                <w:kern w:val="0"/>
                <w:sz w:val="16"/>
                <w:szCs w:val="16"/>
                <w:lang w:eastAsia="fr-FR"/>
              </w:rPr>
            </w:pPr>
          </w:p>
        </w:tc>
        <w:tc>
          <w:tcPr>
            <w:tcW w:w="1276" w:type="dxa"/>
            <w:tcBorders>
              <w:top w:val="nil"/>
              <w:left w:val="nil"/>
              <w:bottom w:val="single" w:sz="4" w:space="0" w:color="auto"/>
              <w:right w:val="single" w:sz="4" w:space="0" w:color="auto"/>
            </w:tcBorders>
            <w:shd w:val="clear" w:color="000000" w:fill="DEEBF6"/>
            <w:noWrap/>
            <w:hideMark/>
          </w:tcPr>
          <w:p w:rsidR="00786F30" w:rsidRPr="002368A4" w:rsidRDefault="00786F30" w:rsidP="002368A4">
            <w:pPr>
              <w:spacing w:after="0" w:line="240" w:lineRule="auto"/>
              <w:rPr>
                <w:rFonts w:ascii="Calibri" w:eastAsia="Times New Roman" w:hAnsi="Calibri" w:cs="Times New Roman"/>
                <w:b/>
                <w:bCs/>
                <w:kern w:val="0"/>
                <w:sz w:val="20"/>
                <w:szCs w:val="20"/>
                <w:lang w:eastAsia="fr-FR"/>
              </w:rPr>
            </w:pPr>
          </w:p>
        </w:tc>
      </w:tr>
    </w:tbl>
    <w:p w:rsidR="002368A4" w:rsidRDefault="002368A4" w:rsidP="002368A4"/>
    <w:p w:rsidR="004E3824" w:rsidRPr="00131C72" w:rsidRDefault="004E3824" w:rsidP="004E3824">
      <w:pPr>
        <w:rPr>
          <w:b/>
          <w:bCs/>
        </w:rPr>
      </w:pPr>
      <w:r w:rsidRPr="00131C72">
        <w:rPr>
          <w:b/>
          <w:bCs/>
        </w:rPr>
        <w:t>7. MODALITÉS DE SOUMISSION ET SÉLECTION</w:t>
      </w:r>
    </w:p>
    <w:p w:rsidR="004E3824" w:rsidRDefault="004E3824" w:rsidP="004E3824">
      <w:r>
        <w:t>7.1 Contenu du dossier de candidature</w:t>
      </w:r>
    </w:p>
    <w:p w:rsidR="004E3824" w:rsidRDefault="004E3824" w:rsidP="004E3824">
      <w:r>
        <w:t>Le dossier doit comprendre :</w:t>
      </w:r>
    </w:p>
    <w:p w:rsidR="004E3824" w:rsidRDefault="004E3824" w:rsidP="004E3824">
      <w:r>
        <w:t>* Une note méthodologique détaillée</w:t>
      </w:r>
    </w:p>
    <w:p w:rsidR="004E3824" w:rsidRDefault="004E3824" w:rsidP="004E3824">
      <w:r>
        <w:t>* Les CV détaillés de l’équipe proposée</w:t>
      </w:r>
    </w:p>
    <w:p w:rsidR="004E3824" w:rsidRDefault="004E3824" w:rsidP="004E3824">
      <w:r>
        <w:t>* Une offre financière ventilée</w:t>
      </w:r>
    </w:p>
    <w:p w:rsidR="004E3824" w:rsidRDefault="004E3824" w:rsidP="004E3824">
      <w:r>
        <w:t>* Un chronogramme d’intervention précis</w:t>
      </w:r>
    </w:p>
    <w:p w:rsidR="004E3824" w:rsidRDefault="004E3824" w:rsidP="004E3824">
      <w:r>
        <w:t>* Des références de missions similaires</w:t>
      </w:r>
    </w:p>
    <w:p w:rsidR="004E3824" w:rsidRDefault="004E3824" w:rsidP="004E3824">
      <w:r>
        <w:t>* Des exemples de supports pédagogiques</w:t>
      </w:r>
    </w:p>
    <w:p w:rsidR="004E3824" w:rsidRDefault="004E3824" w:rsidP="002368A4"/>
    <w:p w:rsidR="004E3824" w:rsidRDefault="004E3824" w:rsidP="002368A4"/>
    <w:p w:rsidR="004E3824" w:rsidRDefault="004E3824" w:rsidP="002368A4"/>
    <w:p w:rsidR="00FF3656" w:rsidRPr="00FF3656" w:rsidRDefault="004E3824" w:rsidP="00FD0B0C">
      <w:pPr>
        <w:rPr>
          <w:b/>
          <w:bCs/>
        </w:rPr>
      </w:pPr>
      <w:r>
        <w:rPr>
          <w:b/>
          <w:bCs/>
        </w:rPr>
        <w:t>8</w:t>
      </w:r>
      <w:r w:rsidR="00FF3656" w:rsidRPr="00FF3656">
        <w:rPr>
          <w:b/>
          <w:bCs/>
        </w:rPr>
        <w:t>. LIVRABLES ATTENDUS</w:t>
      </w:r>
    </w:p>
    <w:p w:rsidR="00FF3656" w:rsidRPr="00FF3656" w:rsidRDefault="004E3824" w:rsidP="00FF3656">
      <w:pPr>
        <w:rPr>
          <w:i/>
          <w:iCs/>
        </w:rPr>
      </w:pPr>
      <w:r>
        <w:rPr>
          <w:i/>
          <w:iCs/>
        </w:rPr>
        <w:t>8</w:t>
      </w:r>
      <w:r w:rsidR="00FF3656" w:rsidRPr="00FF3656">
        <w:rPr>
          <w:i/>
          <w:iCs/>
        </w:rPr>
        <w:t>.1 Pour les participants</w:t>
      </w:r>
    </w:p>
    <w:p w:rsidR="00724EC5" w:rsidRPr="00724EC5" w:rsidRDefault="00724EC5" w:rsidP="00724EC5">
      <w:pPr>
        <w:pStyle w:val="Paragraphedeliste"/>
        <w:numPr>
          <w:ilvl w:val="0"/>
          <w:numId w:val="20"/>
        </w:numPr>
      </w:pPr>
      <w:r w:rsidRPr="00724EC5">
        <w:t>Accès au guide interactif.</w:t>
      </w:r>
    </w:p>
    <w:p w:rsidR="00724EC5" w:rsidRPr="00724EC5" w:rsidRDefault="00724EC5" w:rsidP="00724EC5">
      <w:pPr>
        <w:pStyle w:val="Paragraphedeliste"/>
        <w:numPr>
          <w:ilvl w:val="0"/>
          <w:numId w:val="20"/>
        </w:numPr>
      </w:pPr>
      <w:r w:rsidRPr="00724EC5">
        <w:t>Téléchargement des guides pratiques.</w:t>
      </w:r>
    </w:p>
    <w:p w:rsidR="00FF3656" w:rsidRPr="00FF3656" w:rsidRDefault="00FF3656" w:rsidP="00FF3656">
      <w:pPr>
        <w:spacing w:after="0"/>
        <w:rPr>
          <w:i/>
          <w:iCs/>
        </w:rPr>
      </w:pPr>
    </w:p>
    <w:p w:rsidR="00FF3656" w:rsidRPr="00FF3656" w:rsidRDefault="004E3824" w:rsidP="00FF3656">
      <w:pPr>
        <w:rPr>
          <w:i/>
          <w:iCs/>
        </w:rPr>
      </w:pPr>
      <w:r>
        <w:rPr>
          <w:i/>
          <w:iCs/>
        </w:rPr>
        <w:t>8</w:t>
      </w:r>
      <w:r w:rsidR="00FF3656" w:rsidRPr="00FF3656">
        <w:rPr>
          <w:i/>
          <w:iCs/>
        </w:rPr>
        <w:t>.2 Pour l'organisation</w:t>
      </w:r>
    </w:p>
    <w:p w:rsidR="00724EC5" w:rsidRPr="00724EC5" w:rsidRDefault="00724EC5" w:rsidP="00724EC5">
      <w:pPr>
        <w:pStyle w:val="Paragraphedeliste"/>
        <w:numPr>
          <w:ilvl w:val="0"/>
          <w:numId w:val="20"/>
        </w:numPr>
      </w:pPr>
      <w:r w:rsidRPr="00724EC5">
        <w:t>Mise à jour continue du guide.</w:t>
      </w:r>
    </w:p>
    <w:p w:rsidR="00724EC5" w:rsidRPr="00724EC5" w:rsidRDefault="00724EC5" w:rsidP="00724EC5">
      <w:pPr>
        <w:pStyle w:val="Paragraphedeliste"/>
        <w:numPr>
          <w:ilvl w:val="0"/>
          <w:numId w:val="20"/>
        </w:numPr>
      </w:pPr>
      <w:r w:rsidRPr="00724EC5">
        <w:t>Rapport d'impact sur l'utilisation du guide.</w:t>
      </w:r>
    </w:p>
    <w:p w:rsidR="00AA1912" w:rsidRPr="00724EC5" w:rsidRDefault="00724EC5" w:rsidP="00724EC5">
      <w:pPr>
        <w:pStyle w:val="Paragraphedeliste"/>
        <w:numPr>
          <w:ilvl w:val="0"/>
          <w:numId w:val="20"/>
        </w:numPr>
      </w:pPr>
      <w:r w:rsidRPr="00724EC5">
        <w:t>Documentation des témoignages et guides mis à jour.</w:t>
      </w:r>
    </w:p>
    <w:p w:rsidR="00FF3656" w:rsidRPr="00FF3656" w:rsidRDefault="004E3824" w:rsidP="00FF3656">
      <w:pPr>
        <w:rPr>
          <w:b/>
          <w:bCs/>
        </w:rPr>
      </w:pPr>
      <w:r>
        <w:rPr>
          <w:b/>
          <w:bCs/>
        </w:rPr>
        <w:t>9</w:t>
      </w:r>
      <w:r w:rsidR="00FF3656" w:rsidRPr="00FF3656">
        <w:rPr>
          <w:b/>
          <w:bCs/>
        </w:rPr>
        <w:t>. DISPOSITIONS ADMINISTRATIVES</w:t>
      </w:r>
    </w:p>
    <w:p w:rsidR="00FF3656" w:rsidRPr="00FF3656" w:rsidRDefault="004E3824" w:rsidP="00FF3656">
      <w:pPr>
        <w:rPr>
          <w:i/>
          <w:iCs/>
        </w:rPr>
      </w:pPr>
      <w:r>
        <w:rPr>
          <w:i/>
          <w:iCs/>
        </w:rPr>
        <w:t>9</w:t>
      </w:r>
      <w:r w:rsidR="00FF3656" w:rsidRPr="00FF3656">
        <w:rPr>
          <w:i/>
          <w:iCs/>
        </w:rPr>
        <w:t>.1 Confidentialité</w:t>
      </w:r>
    </w:p>
    <w:p w:rsidR="00FF3656" w:rsidRDefault="00FF3656" w:rsidP="00FF3656">
      <w:r>
        <w:t>- Protection des données personnelles</w:t>
      </w:r>
    </w:p>
    <w:p w:rsidR="00FF3656" w:rsidRDefault="00FF3656" w:rsidP="00FF3656">
      <w:r>
        <w:t>- Confidentialité des projets</w:t>
      </w:r>
    </w:p>
    <w:p w:rsidR="0066499A" w:rsidRDefault="00FF3656" w:rsidP="00FF3656">
      <w:r>
        <w:t>- Accord de non-divulgation</w:t>
      </w:r>
    </w:p>
    <w:p w:rsidR="004E3824" w:rsidRDefault="004E3824" w:rsidP="00FF3656"/>
    <w:p w:rsidR="004E3824" w:rsidRDefault="004E3824" w:rsidP="004E3824">
      <w:r>
        <w:t>9.2 Propriété intellectuelle</w:t>
      </w:r>
    </w:p>
    <w:p w:rsidR="004E3824" w:rsidRDefault="004E3824" w:rsidP="004E3824">
      <w:r>
        <w:t>Tous les documents produits dans le cadre de cette mission sont la propriété exclusive du</w:t>
      </w:r>
    </w:p>
    <w:p w:rsidR="004E3824" w:rsidRDefault="004E3824" w:rsidP="004E3824">
      <w:r>
        <w:t>Projet TAWASOL. Leur utilisation ou reproduction nécessite une autorisation écrite préalable.</w:t>
      </w:r>
    </w:p>
    <w:p w:rsidR="004E3824" w:rsidRPr="0067218F" w:rsidRDefault="004E3824" w:rsidP="004E3824">
      <w:pPr>
        <w:rPr>
          <w:sz w:val="16"/>
          <w:szCs w:val="16"/>
        </w:rPr>
      </w:pPr>
    </w:p>
    <w:p w:rsidR="004E3824" w:rsidRDefault="004E3824" w:rsidP="004E3824">
      <w:r>
        <w:t>9.3 Les dossiers complétés doivent être déposés à l’adresse email de l’association :</w:t>
      </w:r>
    </w:p>
    <w:p w:rsidR="004E3824" w:rsidRDefault="004E3824" w:rsidP="004E3824">
      <w:r w:rsidRPr="00E43155">
        <w:rPr>
          <w:b/>
          <w:bCs/>
          <w:sz w:val="24"/>
          <w:szCs w:val="24"/>
          <w:u w:val="single"/>
        </w:rPr>
        <w:t>Email Association</w:t>
      </w:r>
      <w:r>
        <w:t> :</w:t>
      </w:r>
      <w:r w:rsidR="004C0E0D">
        <w:t xml:space="preserve">  </w:t>
      </w:r>
      <w:r w:rsidR="004C0E0D" w:rsidRPr="004C0E0D">
        <w:t xml:space="preserve"> </w:t>
      </w:r>
      <w:r w:rsidR="004C0E0D" w:rsidRPr="0089642C">
        <w:rPr>
          <w:b/>
          <w:bCs/>
          <w:color w:val="215E99" w:themeColor="text2" w:themeTint="BF"/>
        </w:rPr>
        <w:t>Associationjeunesseoptimiste@gmail.com</w:t>
      </w:r>
    </w:p>
    <w:p w:rsidR="004E3824" w:rsidRDefault="004E3824" w:rsidP="00FF3656"/>
    <w:sectPr w:rsidR="004E3824" w:rsidSect="00E50D50">
      <w:footerReference w:type="default" r:id="rId8"/>
      <w:pgSz w:w="11906" w:h="16838"/>
      <w:pgMar w:top="1135" w:right="1417" w:bottom="1417" w:left="1417" w:header="708" w:footer="46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EF2" w:rsidRDefault="00FE0EF2" w:rsidP="00E50D50">
      <w:pPr>
        <w:spacing w:after="0" w:line="240" w:lineRule="auto"/>
      </w:pPr>
      <w:r>
        <w:separator/>
      </w:r>
    </w:p>
  </w:endnote>
  <w:endnote w:type="continuationSeparator" w:id="0">
    <w:p w:rsidR="00FE0EF2" w:rsidRDefault="00FE0EF2" w:rsidP="00E5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426157"/>
      <w:docPartObj>
        <w:docPartGallery w:val="Page Numbers (Bottom of Page)"/>
        <w:docPartUnique/>
      </w:docPartObj>
    </w:sdtPr>
    <w:sdtContent>
      <w:p w:rsidR="00E50D50" w:rsidRDefault="006864CF">
        <w:pPr>
          <w:pStyle w:val="Pieddepage"/>
          <w:jc w:val="center"/>
        </w:pPr>
        <w:r>
          <w:fldChar w:fldCharType="begin"/>
        </w:r>
        <w:r w:rsidR="00E50D50">
          <w:instrText>PAGE   \* MERGEFORMAT</w:instrText>
        </w:r>
        <w:r>
          <w:fldChar w:fldCharType="separate"/>
        </w:r>
        <w:r w:rsidR="0089642C">
          <w:rPr>
            <w:noProof/>
          </w:rPr>
          <w:t>4</w:t>
        </w:r>
        <w:r>
          <w:fldChar w:fldCharType="end"/>
        </w:r>
      </w:p>
    </w:sdtContent>
  </w:sdt>
  <w:p w:rsidR="00E50D50" w:rsidRDefault="00E50D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EF2" w:rsidRDefault="00FE0EF2" w:rsidP="00E50D50">
      <w:pPr>
        <w:spacing w:after="0" w:line="240" w:lineRule="auto"/>
      </w:pPr>
      <w:r>
        <w:separator/>
      </w:r>
    </w:p>
  </w:footnote>
  <w:footnote w:type="continuationSeparator" w:id="0">
    <w:p w:rsidR="00FE0EF2" w:rsidRDefault="00FE0EF2" w:rsidP="00E50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568"/>
    <w:multiLevelType w:val="hybridMultilevel"/>
    <w:tmpl w:val="EA66D72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7F26F9"/>
    <w:multiLevelType w:val="multilevel"/>
    <w:tmpl w:val="A98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E22"/>
    <w:multiLevelType w:val="multilevel"/>
    <w:tmpl w:val="9BE40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00A18"/>
    <w:multiLevelType w:val="hybridMultilevel"/>
    <w:tmpl w:val="BD38B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F71072"/>
    <w:multiLevelType w:val="hybridMultilevel"/>
    <w:tmpl w:val="26C6E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06538F"/>
    <w:multiLevelType w:val="hybridMultilevel"/>
    <w:tmpl w:val="B150EF6A"/>
    <w:lvl w:ilvl="0" w:tplc="912CA84E">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9F0E42"/>
    <w:multiLevelType w:val="multilevel"/>
    <w:tmpl w:val="52D6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9525D"/>
    <w:multiLevelType w:val="multilevel"/>
    <w:tmpl w:val="6734C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DC4151D"/>
    <w:multiLevelType w:val="multilevel"/>
    <w:tmpl w:val="36C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05CFE"/>
    <w:multiLevelType w:val="multilevel"/>
    <w:tmpl w:val="89DE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505FA"/>
    <w:multiLevelType w:val="multilevel"/>
    <w:tmpl w:val="D538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164D5"/>
    <w:multiLevelType w:val="multilevel"/>
    <w:tmpl w:val="6734C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C41697D"/>
    <w:multiLevelType w:val="multilevel"/>
    <w:tmpl w:val="626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F0917"/>
    <w:multiLevelType w:val="multilevel"/>
    <w:tmpl w:val="9BE40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A4EAE"/>
    <w:multiLevelType w:val="hybridMultilevel"/>
    <w:tmpl w:val="4E5EF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8D60A3"/>
    <w:multiLevelType w:val="multilevel"/>
    <w:tmpl w:val="5108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A03C7"/>
    <w:multiLevelType w:val="hybridMultilevel"/>
    <w:tmpl w:val="170EE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BE298E"/>
    <w:multiLevelType w:val="hybridMultilevel"/>
    <w:tmpl w:val="C6321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1B0834"/>
    <w:multiLevelType w:val="multilevel"/>
    <w:tmpl w:val="A666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419FA"/>
    <w:multiLevelType w:val="hybridMultilevel"/>
    <w:tmpl w:val="63181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48467C"/>
    <w:multiLevelType w:val="hybridMultilevel"/>
    <w:tmpl w:val="95CC479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B43596F"/>
    <w:multiLevelType w:val="hybridMultilevel"/>
    <w:tmpl w:val="6734CF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5D666868"/>
    <w:multiLevelType w:val="hybridMultilevel"/>
    <w:tmpl w:val="47F25B24"/>
    <w:lvl w:ilvl="0" w:tplc="912CA84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375941"/>
    <w:multiLevelType w:val="multilevel"/>
    <w:tmpl w:val="C76E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57166"/>
    <w:multiLevelType w:val="hybridMultilevel"/>
    <w:tmpl w:val="47B8D4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127ACA"/>
    <w:multiLevelType w:val="hybridMultilevel"/>
    <w:tmpl w:val="BE9CF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6C6DA4"/>
    <w:multiLevelType w:val="multilevel"/>
    <w:tmpl w:val="14C0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26389"/>
    <w:multiLevelType w:val="multilevel"/>
    <w:tmpl w:val="6734C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99243FC"/>
    <w:multiLevelType w:val="multilevel"/>
    <w:tmpl w:val="9BE40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C3778"/>
    <w:multiLevelType w:val="hybridMultilevel"/>
    <w:tmpl w:val="90D49F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A342822"/>
    <w:multiLevelType w:val="multilevel"/>
    <w:tmpl w:val="8FA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240023"/>
    <w:multiLevelType w:val="multilevel"/>
    <w:tmpl w:val="6734CF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F027B79"/>
    <w:multiLevelType w:val="multilevel"/>
    <w:tmpl w:val="49E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8C0E00"/>
    <w:multiLevelType w:val="multilevel"/>
    <w:tmpl w:val="B4A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E1486A"/>
    <w:multiLevelType w:val="hybridMultilevel"/>
    <w:tmpl w:val="BEA2C952"/>
    <w:lvl w:ilvl="0" w:tplc="912CA84E">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0FD6B07"/>
    <w:multiLevelType w:val="multilevel"/>
    <w:tmpl w:val="9BE40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AA33E8"/>
    <w:multiLevelType w:val="hybridMultilevel"/>
    <w:tmpl w:val="284A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3"/>
  </w:num>
  <w:num w:numId="4">
    <w:abstractNumId w:val="29"/>
  </w:num>
  <w:num w:numId="5">
    <w:abstractNumId w:val="0"/>
  </w:num>
  <w:num w:numId="6">
    <w:abstractNumId w:val="10"/>
  </w:num>
  <w:num w:numId="7">
    <w:abstractNumId w:val="16"/>
  </w:num>
  <w:num w:numId="8">
    <w:abstractNumId w:val="20"/>
  </w:num>
  <w:num w:numId="9">
    <w:abstractNumId w:val="12"/>
  </w:num>
  <w:num w:numId="10">
    <w:abstractNumId w:val="18"/>
  </w:num>
  <w:num w:numId="11">
    <w:abstractNumId w:val="4"/>
  </w:num>
  <w:num w:numId="12">
    <w:abstractNumId w:val="3"/>
  </w:num>
  <w:num w:numId="13">
    <w:abstractNumId w:val="26"/>
  </w:num>
  <w:num w:numId="14">
    <w:abstractNumId w:val="24"/>
  </w:num>
  <w:num w:numId="15">
    <w:abstractNumId w:val="23"/>
  </w:num>
  <w:num w:numId="16">
    <w:abstractNumId w:val="17"/>
  </w:num>
  <w:num w:numId="17">
    <w:abstractNumId w:val="22"/>
  </w:num>
  <w:num w:numId="18">
    <w:abstractNumId w:val="34"/>
  </w:num>
  <w:num w:numId="19">
    <w:abstractNumId w:val="5"/>
  </w:num>
  <w:num w:numId="20">
    <w:abstractNumId w:val="21"/>
  </w:num>
  <w:num w:numId="21">
    <w:abstractNumId w:val="36"/>
  </w:num>
  <w:num w:numId="22">
    <w:abstractNumId w:val="19"/>
  </w:num>
  <w:num w:numId="23">
    <w:abstractNumId w:val="30"/>
  </w:num>
  <w:num w:numId="24">
    <w:abstractNumId w:val="14"/>
  </w:num>
  <w:num w:numId="25">
    <w:abstractNumId w:val="28"/>
  </w:num>
  <w:num w:numId="26">
    <w:abstractNumId w:val="1"/>
  </w:num>
  <w:num w:numId="27">
    <w:abstractNumId w:val="35"/>
  </w:num>
  <w:num w:numId="28">
    <w:abstractNumId w:val="9"/>
  </w:num>
  <w:num w:numId="29">
    <w:abstractNumId w:val="15"/>
  </w:num>
  <w:num w:numId="30">
    <w:abstractNumId w:val="32"/>
  </w:num>
  <w:num w:numId="31">
    <w:abstractNumId w:val="13"/>
  </w:num>
  <w:num w:numId="32">
    <w:abstractNumId w:val="2"/>
  </w:num>
  <w:num w:numId="33">
    <w:abstractNumId w:val="31"/>
  </w:num>
  <w:num w:numId="34">
    <w:abstractNumId w:val="27"/>
  </w:num>
  <w:num w:numId="35">
    <w:abstractNumId w:val="7"/>
  </w:num>
  <w:num w:numId="36">
    <w:abstractNumId w:val="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F3656"/>
    <w:rsid w:val="00074148"/>
    <w:rsid w:val="001456EF"/>
    <w:rsid w:val="00164703"/>
    <w:rsid w:val="001F19A8"/>
    <w:rsid w:val="002368A4"/>
    <w:rsid w:val="003C0C24"/>
    <w:rsid w:val="003F1D57"/>
    <w:rsid w:val="0045444F"/>
    <w:rsid w:val="004C0E0D"/>
    <w:rsid w:val="004E3824"/>
    <w:rsid w:val="005C27C1"/>
    <w:rsid w:val="005F3957"/>
    <w:rsid w:val="00660E6F"/>
    <w:rsid w:val="0066499A"/>
    <w:rsid w:val="006864CF"/>
    <w:rsid w:val="007245FB"/>
    <w:rsid w:val="00724EC5"/>
    <w:rsid w:val="00786F30"/>
    <w:rsid w:val="0089642C"/>
    <w:rsid w:val="008E3B92"/>
    <w:rsid w:val="00A25F2E"/>
    <w:rsid w:val="00A6499E"/>
    <w:rsid w:val="00AA1912"/>
    <w:rsid w:val="00BD616B"/>
    <w:rsid w:val="00C53D33"/>
    <w:rsid w:val="00D252B0"/>
    <w:rsid w:val="00D46435"/>
    <w:rsid w:val="00E50D50"/>
    <w:rsid w:val="00FA3282"/>
    <w:rsid w:val="00FD0B0C"/>
    <w:rsid w:val="00FE0EF2"/>
    <w:rsid w:val="00FF36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CF"/>
  </w:style>
  <w:style w:type="paragraph" w:styleId="Titre1">
    <w:name w:val="heading 1"/>
    <w:basedOn w:val="Normal"/>
    <w:next w:val="Normal"/>
    <w:link w:val="Titre1Car"/>
    <w:uiPriority w:val="9"/>
    <w:qFormat/>
    <w:rsid w:val="00FF3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3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36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36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36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36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36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36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36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36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36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36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36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36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36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36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36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3656"/>
    <w:rPr>
      <w:rFonts w:eastAsiaTheme="majorEastAsia" w:cstheme="majorBidi"/>
      <w:color w:val="272727" w:themeColor="text1" w:themeTint="D8"/>
    </w:rPr>
  </w:style>
  <w:style w:type="paragraph" w:styleId="Titre">
    <w:name w:val="Title"/>
    <w:basedOn w:val="Normal"/>
    <w:next w:val="Normal"/>
    <w:link w:val="TitreCar"/>
    <w:uiPriority w:val="10"/>
    <w:qFormat/>
    <w:rsid w:val="00FF3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36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36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36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3656"/>
    <w:pPr>
      <w:spacing w:before="160"/>
      <w:jc w:val="center"/>
    </w:pPr>
    <w:rPr>
      <w:i/>
      <w:iCs/>
      <w:color w:val="404040" w:themeColor="text1" w:themeTint="BF"/>
    </w:rPr>
  </w:style>
  <w:style w:type="character" w:customStyle="1" w:styleId="CitationCar">
    <w:name w:val="Citation Car"/>
    <w:basedOn w:val="Policepardfaut"/>
    <w:link w:val="Citation"/>
    <w:uiPriority w:val="29"/>
    <w:rsid w:val="00FF3656"/>
    <w:rPr>
      <w:i/>
      <w:iCs/>
      <w:color w:val="404040" w:themeColor="text1" w:themeTint="BF"/>
    </w:rPr>
  </w:style>
  <w:style w:type="paragraph" w:styleId="Paragraphedeliste">
    <w:name w:val="List Paragraph"/>
    <w:basedOn w:val="Normal"/>
    <w:uiPriority w:val="34"/>
    <w:qFormat/>
    <w:rsid w:val="00FF3656"/>
    <w:pPr>
      <w:ind w:left="720"/>
      <w:contextualSpacing/>
    </w:pPr>
  </w:style>
  <w:style w:type="character" w:styleId="Emphaseintense">
    <w:name w:val="Intense Emphasis"/>
    <w:basedOn w:val="Policepardfaut"/>
    <w:uiPriority w:val="21"/>
    <w:qFormat/>
    <w:rsid w:val="00FF3656"/>
    <w:rPr>
      <w:i/>
      <w:iCs/>
      <w:color w:val="0F4761" w:themeColor="accent1" w:themeShade="BF"/>
    </w:rPr>
  </w:style>
  <w:style w:type="paragraph" w:styleId="Citationintense">
    <w:name w:val="Intense Quote"/>
    <w:basedOn w:val="Normal"/>
    <w:next w:val="Normal"/>
    <w:link w:val="CitationintenseCar"/>
    <w:uiPriority w:val="30"/>
    <w:qFormat/>
    <w:rsid w:val="00FF3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3656"/>
    <w:rPr>
      <w:i/>
      <w:iCs/>
      <w:color w:val="0F4761" w:themeColor="accent1" w:themeShade="BF"/>
    </w:rPr>
  </w:style>
  <w:style w:type="character" w:styleId="Rfrenceintense">
    <w:name w:val="Intense Reference"/>
    <w:basedOn w:val="Policepardfaut"/>
    <w:uiPriority w:val="32"/>
    <w:qFormat/>
    <w:rsid w:val="00FF3656"/>
    <w:rPr>
      <w:b/>
      <w:bCs/>
      <w:smallCaps/>
      <w:color w:val="0F4761" w:themeColor="accent1" w:themeShade="BF"/>
      <w:spacing w:val="5"/>
    </w:rPr>
  </w:style>
  <w:style w:type="paragraph" w:styleId="En-tte">
    <w:name w:val="header"/>
    <w:basedOn w:val="Normal"/>
    <w:link w:val="En-tteCar"/>
    <w:uiPriority w:val="99"/>
    <w:unhideWhenUsed/>
    <w:rsid w:val="00E50D50"/>
    <w:pPr>
      <w:tabs>
        <w:tab w:val="center" w:pos="4536"/>
        <w:tab w:val="right" w:pos="9072"/>
      </w:tabs>
      <w:spacing w:after="0" w:line="240" w:lineRule="auto"/>
    </w:pPr>
  </w:style>
  <w:style w:type="character" w:customStyle="1" w:styleId="En-tteCar">
    <w:name w:val="En-tête Car"/>
    <w:basedOn w:val="Policepardfaut"/>
    <w:link w:val="En-tte"/>
    <w:uiPriority w:val="99"/>
    <w:rsid w:val="00E50D50"/>
  </w:style>
  <w:style w:type="paragraph" w:styleId="Pieddepage">
    <w:name w:val="footer"/>
    <w:basedOn w:val="Normal"/>
    <w:link w:val="PieddepageCar"/>
    <w:uiPriority w:val="99"/>
    <w:unhideWhenUsed/>
    <w:rsid w:val="00E50D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D50"/>
  </w:style>
  <w:style w:type="character" w:styleId="lev">
    <w:name w:val="Strong"/>
    <w:basedOn w:val="Policepardfaut"/>
    <w:uiPriority w:val="22"/>
    <w:qFormat/>
    <w:rsid w:val="00A6499E"/>
    <w:rPr>
      <w:b/>
      <w:bCs/>
    </w:rPr>
  </w:style>
</w:styles>
</file>

<file path=word/webSettings.xml><?xml version="1.0" encoding="utf-8"?>
<w:webSettings xmlns:r="http://schemas.openxmlformats.org/officeDocument/2006/relationships" xmlns:w="http://schemas.openxmlformats.org/wordprocessingml/2006/main">
  <w:divs>
    <w:div w:id="70128137">
      <w:bodyDiv w:val="1"/>
      <w:marLeft w:val="0"/>
      <w:marRight w:val="0"/>
      <w:marTop w:val="0"/>
      <w:marBottom w:val="0"/>
      <w:divBdr>
        <w:top w:val="none" w:sz="0" w:space="0" w:color="auto"/>
        <w:left w:val="none" w:sz="0" w:space="0" w:color="auto"/>
        <w:bottom w:val="none" w:sz="0" w:space="0" w:color="auto"/>
        <w:right w:val="none" w:sz="0" w:space="0" w:color="auto"/>
      </w:divBdr>
    </w:div>
    <w:div w:id="200749342">
      <w:bodyDiv w:val="1"/>
      <w:marLeft w:val="0"/>
      <w:marRight w:val="0"/>
      <w:marTop w:val="0"/>
      <w:marBottom w:val="0"/>
      <w:divBdr>
        <w:top w:val="none" w:sz="0" w:space="0" w:color="auto"/>
        <w:left w:val="none" w:sz="0" w:space="0" w:color="auto"/>
        <w:bottom w:val="none" w:sz="0" w:space="0" w:color="auto"/>
        <w:right w:val="none" w:sz="0" w:space="0" w:color="auto"/>
      </w:divBdr>
    </w:div>
    <w:div w:id="222299880">
      <w:bodyDiv w:val="1"/>
      <w:marLeft w:val="0"/>
      <w:marRight w:val="0"/>
      <w:marTop w:val="0"/>
      <w:marBottom w:val="0"/>
      <w:divBdr>
        <w:top w:val="none" w:sz="0" w:space="0" w:color="auto"/>
        <w:left w:val="none" w:sz="0" w:space="0" w:color="auto"/>
        <w:bottom w:val="none" w:sz="0" w:space="0" w:color="auto"/>
        <w:right w:val="none" w:sz="0" w:space="0" w:color="auto"/>
      </w:divBdr>
    </w:div>
    <w:div w:id="237136604">
      <w:bodyDiv w:val="1"/>
      <w:marLeft w:val="0"/>
      <w:marRight w:val="0"/>
      <w:marTop w:val="0"/>
      <w:marBottom w:val="0"/>
      <w:divBdr>
        <w:top w:val="none" w:sz="0" w:space="0" w:color="auto"/>
        <w:left w:val="none" w:sz="0" w:space="0" w:color="auto"/>
        <w:bottom w:val="none" w:sz="0" w:space="0" w:color="auto"/>
        <w:right w:val="none" w:sz="0" w:space="0" w:color="auto"/>
      </w:divBdr>
    </w:div>
    <w:div w:id="320161968">
      <w:bodyDiv w:val="1"/>
      <w:marLeft w:val="0"/>
      <w:marRight w:val="0"/>
      <w:marTop w:val="0"/>
      <w:marBottom w:val="0"/>
      <w:divBdr>
        <w:top w:val="none" w:sz="0" w:space="0" w:color="auto"/>
        <w:left w:val="none" w:sz="0" w:space="0" w:color="auto"/>
        <w:bottom w:val="none" w:sz="0" w:space="0" w:color="auto"/>
        <w:right w:val="none" w:sz="0" w:space="0" w:color="auto"/>
      </w:divBdr>
    </w:div>
    <w:div w:id="321736232">
      <w:bodyDiv w:val="1"/>
      <w:marLeft w:val="0"/>
      <w:marRight w:val="0"/>
      <w:marTop w:val="0"/>
      <w:marBottom w:val="0"/>
      <w:divBdr>
        <w:top w:val="none" w:sz="0" w:space="0" w:color="auto"/>
        <w:left w:val="none" w:sz="0" w:space="0" w:color="auto"/>
        <w:bottom w:val="none" w:sz="0" w:space="0" w:color="auto"/>
        <w:right w:val="none" w:sz="0" w:space="0" w:color="auto"/>
      </w:divBdr>
    </w:div>
    <w:div w:id="403069748">
      <w:bodyDiv w:val="1"/>
      <w:marLeft w:val="0"/>
      <w:marRight w:val="0"/>
      <w:marTop w:val="0"/>
      <w:marBottom w:val="0"/>
      <w:divBdr>
        <w:top w:val="none" w:sz="0" w:space="0" w:color="auto"/>
        <w:left w:val="none" w:sz="0" w:space="0" w:color="auto"/>
        <w:bottom w:val="none" w:sz="0" w:space="0" w:color="auto"/>
        <w:right w:val="none" w:sz="0" w:space="0" w:color="auto"/>
      </w:divBdr>
    </w:div>
    <w:div w:id="461383403">
      <w:bodyDiv w:val="1"/>
      <w:marLeft w:val="0"/>
      <w:marRight w:val="0"/>
      <w:marTop w:val="0"/>
      <w:marBottom w:val="0"/>
      <w:divBdr>
        <w:top w:val="none" w:sz="0" w:space="0" w:color="auto"/>
        <w:left w:val="none" w:sz="0" w:space="0" w:color="auto"/>
        <w:bottom w:val="none" w:sz="0" w:space="0" w:color="auto"/>
        <w:right w:val="none" w:sz="0" w:space="0" w:color="auto"/>
      </w:divBdr>
    </w:div>
    <w:div w:id="502015095">
      <w:bodyDiv w:val="1"/>
      <w:marLeft w:val="0"/>
      <w:marRight w:val="0"/>
      <w:marTop w:val="0"/>
      <w:marBottom w:val="0"/>
      <w:divBdr>
        <w:top w:val="none" w:sz="0" w:space="0" w:color="auto"/>
        <w:left w:val="none" w:sz="0" w:space="0" w:color="auto"/>
        <w:bottom w:val="none" w:sz="0" w:space="0" w:color="auto"/>
        <w:right w:val="none" w:sz="0" w:space="0" w:color="auto"/>
      </w:divBdr>
    </w:div>
    <w:div w:id="658846197">
      <w:bodyDiv w:val="1"/>
      <w:marLeft w:val="0"/>
      <w:marRight w:val="0"/>
      <w:marTop w:val="0"/>
      <w:marBottom w:val="0"/>
      <w:divBdr>
        <w:top w:val="none" w:sz="0" w:space="0" w:color="auto"/>
        <w:left w:val="none" w:sz="0" w:space="0" w:color="auto"/>
        <w:bottom w:val="none" w:sz="0" w:space="0" w:color="auto"/>
        <w:right w:val="none" w:sz="0" w:space="0" w:color="auto"/>
      </w:divBdr>
    </w:div>
    <w:div w:id="669598013">
      <w:bodyDiv w:val="1"/>
      <w:marLeft w:val="0"/>
      <w:marRight w:val="0"/>
      <w:marTop w:val="0"/>
      <w:marBottom w:val="0"/>
      <w:divBdr>
        <w:top w:val="none" w:sz="0" w:space="0" w:color="auto"/>
        <w:left w:val="none" w:sz="0" w:space="0" w:color="auto"/>
        <w:bottom w:val="none" w:sz="0" w:space="0" w:color="auto"/>
        <w:right w:val="none" w:sz="0" w:space="0" w:color="auto"/>
      </w:divBdr>
    </w:div>
    <w:div w:id="681469298">
      <w:bodyDiv w:val="1"/>
      <w:marLeft w:val="0"/>
      <w:marRight w:val="0"/>
      <w:marTop w:val="0"/>
      <w:marBottom w:val="0"/>
      <w:divBdr>
        <w:top w:val="none" w:sz="0" w:space="0" w:color="auto"/>
        <w:left w:val="none" w:sz="0" w:space="0" w:color="auto"/>
        <w:bottom w:val="none" w:sz="0" w:space="0" w:color="auto"/>
        <w:right w:val="none" w:sz="0" w:space="0" w:color="auto"/>
      </w:divBdr>
    </w:div>
    <w:div w:id="748382162">
      <w:bodyDiv w:val="1"/>
      <w:marLeft w:val="0"/>
      <w:marRight w:val="0"/>
      <w:marTop w:val="0"/>
      <w:marBottom w:val="0"/>
      <w:divBdr>
        <w:top w:val="none" w:sz="0" w:space="0" w:color="auto"/>
        <w:left w:val="none" w:sz="0" w:space="0" w:color="auto"/>
        <w:bottom w:val="none" w:sz="0" w:space="0" w:color="auto"/>
        <w:right w:val="none" w:sz="0" w:space="0" w:color="auto"/>
      </w:divBdr>
    </w:div>
    <w:div w:id="780953017">
      <w:bodyDiv w:val="1"/>
      <w:marLeft w:val="0"/>
      <w:marRight w:val="0"/>
      <w:marTop w:val="0"/>
      <w:marBottom w:val="0"/>
      <w:divBdr>
        <w:top w:val="none" w:sz="0" w:space="0" w:color="auto"/>
        <w:left w:val="none" w:sz="0" w:space="0" w:color="auto"/>
        <w:bottom w:val="none" w:sz="0" w:space="0" w:color="auto"/>
        <w:right w:val="none" w:sz="0" w:space="0" w:color="auto"/>
      </w:divBdr>
    </w:div>
    <w:div w:id="832994066">
      <w:bodyDiv w:val="1"/>
      <w:marLeft w:val="0"/>
      <w:marRight w:val="0"/>
      <w:marTop w:val="0"/>
      <w:marBottom w:val="0"/>
      <w:divBdr>
        <w:top w:val="none" w:sz="0" w:space="0" w:color="auto"/>
        <w:left w:val="none" w:sz="0" w:space="0" w:color="auto"/>
        <w:bottom w:val="none" w:sz="0" w:space="0" w:color="auto"/>
        <w:right w:val="none" w:sz="0" w:space="0" w:color="auto"/>
      </w:divBdr>
    </w:div>
    <w:div w:id="1283149818">
      <w:bodyDiv w:val="1"/>
      <w:marLeft w:val="0"/>
      <w:marRight w:val="0"/>
      <w:marTop w:val="0"/>
      <w:marBottom w:val="0"/>
      <w:divBdr>
        <w:top w:val="none" w:sz="0" w:space="0" w:color="auto"/>
        <w:left w:val="none" w:sz="0" w:space="0" w:color="auto"/>
        <w:bottom w:val="none" w:sz="0" w:space="0" w:color="auto"/>
        <w:right w:val="none" w:sz="0" w:space="0" w:color="auto"/>
      </w:divBdr>
    </w:div>
    <w:div w:id="1504970607">
      <w:bodyDiv w:val="1"/>
      <w:marLeft w:val="0"/>
      <w:marRight w:val="0"/>
      <w:marTop w:val="0"/>
      <w:marBottom w:val="0"/>
      <w:divBdr>
        <w:top w:val="none" w:sz="0" w:space="0" w:color="auto"/>
        <w:left w:val="none" w:sz="0" w:space="0" w:color="auto"/>
        <w:bottom w:val="none" w:sz="0" w:space="0" w:color="auto"/>
        <w:right w:val="none" w:sz="0" w:space="0" w:color="auto"/>
      </w:divBdr>
    </w:div>
    <w:div w:id="1515799094">
      <w:bodyDiv w:val="1"/>
      <w:marLeft w:val="0"/>
      <w:marRight w:val="0"/>
      <w:marTop w:val="0"/>
      <w:marBottom w:val="0"/>
      <w:divBdr>
        <w:top w:val="none" w:sz="0" w:space="0" w:color="auto"/>
        <w:left w:val="none" w:sz="0" w:space="0" w:color="auto"/>
        <w:bottom w:val="none" w:sz="0" w:space="0" w:color="auto"/>
        <w:right w:val="none" w:sz="0" w:space="0" w:color="auto"/>
      </w:divBdr>
    </w:div>
    <w:div w:id="1622417199">
      <w:bodyDiv w:val="1"/>
      <w:marLeft w:val="0"/>
      <w:marRight w:val="0"/>
      <w:marTop w:val="0"/>
      <w:marBottom w:val="0"/>
      <w:divBdr>
        <w:top w:val="none" w:sz="0" w:space="0" w:color="auto"/>
        <w:left w:val="none" w:sz="0" w:space="0" w:color="auto"/>
        <w:bottom w:val="none" w:sz="0" w:space="0" w:color="auto"/>
        <w:right w:val="none" w:sz="0" w:space="0" w:color="auto"/>
      </w:divBdr>
    </w:div>
    <w:div w:id="1781801002">
      <w:bodyDiv w:val="1"/>
      <w:marLeft w:val="0"/>
      <w:marRight w:val="0"/>
      <w:marTop w:val="0"/>
      <w:marBottom w:val="0"/>
      <w:divBdr>
        <w:top w:val="none" w:sz="0" w:space="0" w:color="auto"/>
        <w:left w:val="none" w:sz="0" w:space="0" w:color="auto"/>
        <w:bottom w:val="none" w:sz="0" w:space="0" w:color="auto"/>
        <w:right w:val="none" w:sz="0" w:space="0" w:color="auto"/>
      </w:divBdr>
    </w:div>
    <w:div w:id="1908420895">
      <w:bodyDiv w:val="1"/>
      <w:marLeft w:val="0"/>
      <w:marRight w:val="0"/>
      <w:marTop w:val="0"/>
      <w:marBottom w:val="0"/>
      <w:divBdr>
        <w:top w:val="none" w:sz="0" w:space="0" w:color="auto"/>
        <w:left w:val="none" w:sz="0" w:space="0" w:color="auto"/>
        <w:bottom w:val="none" w:sz="0" w:space="0" w:color="auto"/>
        <w:right w:val="none" w:sz="0" w:space="0" w:color="auto"/>
      </w:divBdr>
    </w:div>
    <w:div w:id="2082558599">
      <w:bodyDiv w:val="1"/>
      <w:marLeft w:val="0"/>
      <w:marRight w:val="0"/>
      <w:marTop w:val="0"/>
      <w:marBottom w:val="0"/>
      <w:divBdr>
        <w:top w:val="none" w:sz="0" w:space="0" w:color="auto"/>
        <w:left w:val="none" w:sz="0" w:space="0" w:color="auto"/>
        <w:bottom w:val="none" w:sz="0" w:space="0" w:color="auto"/>
        <w:right w:val="none" w:sz="0" w:space="0" w:color="auto"/>
      </w:divBdr>
    </w:div>
    <w:div w:id="2135975918">
      <w:bodyDiv w:val="1"/>
      <w:marLeft w:val="0"/>
      <w:marRight w:val="0"/>
      <w:marTop w:val="0"/>
      <w:marBottom w:val="0"/>
      <w:divBdr>
        <w:top w:val="none" w:sz="0" w:space="0" w:color="auto"/>
        <w:left w:val="none" w:sz="0" w:space="0" w:color="auto"/>
        <w:bottom w:val="none" w:sz="0" w:space="0" w:color="auto"/>
        <w:right w:val="none" w:sz="0" w:space="0" w:color="auto"/>
      </w:divBdr>
    </w:div>
    <w:div w:id="21446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TAFZA, Brahim</dc:creator>
  <cp:lastModifiedBy>Commune</cp:lastModifiedBy>
  <cp:revision>11</cp:revision>
  <dcterms:created xsi:type="dcterms:W3CDTF">2024-11-14T13:36:00Z</dcterms:created>
  <dcterms:modified xsi:type="dcterms:W3CDTF">2025-04-21T10:48:00Z</dcterms:modified>
</cp:coreProperties>
</file>