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05" w:rsidRDefault="00B70869">
      <w:pPr>
        <w:spacing w:after="0"/>
        <w:rPr>
          <w:sz w:val="18"/>
        </w:rPr>
      </w:pPr>
      <w:r>
        <w:rPr>
          <w:sz w:val="18"/>
        </w:rPr>
        <w:t xml:space="preserve"> </w:t>
      </w:r>
    </w:p>
    <w:p w:rsidR="00382A8E" w:rsidRPr="00382A8E" w:rsidRDefault="00382A8E">
      <w:pPr>
        <w:spacing w:after="0"/>
        <w:rPr>
          <w:b/>
          <w:sz w:val="24"/>
          <w:szCs w:val="24"/>
          <w:u w:val="single"/>
        </w:rPr>
      </w:pPr>
      <w:r w:rsidRPr="00382A8E">
        <w:rPr>
          <w:b/>
          <w:sz w:val="24"/>
          <w:szCs w:val="24"/>
          <w:u w:val="single"/>
        </w:rPr>
        <w:t xml:space="preserve">Description de l’association INSAF : </w:t>
      </w:r>
    </w:p>
    <w:p w:rsidR="00382A8E" w:rsidRPr="00382A8E" w:rsidRDefault="00382A8E">
      <w:pPr>
        <w:spacing w:after="0"/>
        <w:rPr>
          <w:sz w:val="24"/>
          <w:szCs w:val="24"/>
        </w:rPr>
      </w:pPr>
      <w:r w:rsidRPr="00382A8E">
        <w:rPr>
          <w:sz w:val="24"/>
          <w:szCs w:val="24"/>
        </w:rPr>
        <w:t xml:space="preserve">L’Association INSAF est une organisation marocaine engagée dans la promotion des droits humains et la lutte contre les injustices sociales. Elle agit principalement en faveur des femmes et de enfants vulnérables, avec pour mission de leur offrir protection, soutien et autonomisation. INSAF met en place des programmes et initiatives visant à prévenir les violences, promouvoir l’éducation et l’autonomie économique et renforcer les compétences des bénéficiaires pour leur intégration sociale et professionnelle. </w:t>
      </w:r>
    </w:p>
    <w:tbl>
      <w:tblPr>
        <w:tblStyle w:val="TableGrid"/>
        <w:tblpPr w:vertAnchor="page" w:horzAnchor="page" w:tblpX="914" w:tblpY="233"/>
        <w:tblOverlap w:val="never"/>
        <w:tblW w:w="10346" w:type="dxa"/>
        <w:tblInd w:w="0" w:type="dxa"/>
        <w:tblCellMar>
          <w:top w:w="17" w:type="dxa"/>
          <w:left w:w="8" w:type="dxa"/>
          <w:bottom w:w="0" w:type="dxa"/>
          <w:right w:w="115" w:type="dxa"/>
        </w:tblCellMar>
        <w:tblLook w:val="04A0" w:firstRow="1" w:lastRow="0" w:firstColumn="1" w:lastColumn="0" w:noHBand="0" w:noVBand="1"/>
      </w:tblPr>
      <w:tblGrid>
        <w:gridCol w:w="10346"/>
      </w:tblGrid>
      <w:tr w:rsidR="00610705">
        <w:trPr>
          <w:trHeight w:val="694"/>
        </w:trPr>
        <w:tc>
          <w:tcPr>
            <w:tcW w:w="10346" w:type="dxa"/>
            <w:tcBorders>
              <w:top w:val="single" w:sz="4" w:space="0" w:color="000000"/>
              <w:left w:val="single" w:sz="4" w:space="0" w:color="000000"/>
              <w:bottom w:val="single" w:sz="4" w:space="0" w:color="000000"/>
              <w:right w:val="single" w:sz="4" w:space="0" w:color="000000"/>
            </w:tcBorders>
          </w:tcPr>
          <w:p w:rsidR="00610705" w:rsidRDefault="00B70869">
            <w:pPr>
              <w:spacing w:after="0"/>
              <w:ind w:left="937"/>
              <w:jc w:val="center"/>
            </w:pPr>
            <w:r>
              <w:rPr>
                <w:noProof/>
              </w:rPr>
              <w:drawing>
                <wp:anchor distT="0" distB="0" distL="114300" distR="114300" simplePos="0" relativeHeight="251658240" behindDoc="0" locked="0" layoutInCell="1" allowOverlap="0">
                  <wp:simplePos x="0" y="0"/>
                  <wp:positionH relativeFrom="column">
                    <wp:posOffset>4826</wp:posOffset>
                  </wp:positionH>
                  <wp:positionV relativeFrom="paragraph">
                    <wp:posOffset>-27557</wp:posOffset>
                  </wp:positionV>
                  <wp:extent cx="502920" cy="420370"/>
                  <wp:effectExtent l="0" t="0" r="0" b="0"/>
                  <wp:wrapSquare wrapText="bothSides"/>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5"/>
                          <a:stretch>
                            <a:fillRect/>
                          </a:stretch>
                        </pic:blipFill>
                        <pic:spPr>
                          <a:xfrm>
                            <a:off x="0" y="0"/>
                            <a:ext cx="502920" cy="420370"/>
                          </a:xfrm>
                          <a:prstGeom prst="rect">
                            <a:avLst/>
                          </a:prstGeom>
                        </pic:spPr>
                      </pic:pic>
                    </a:graphicData>
                  </a:graphic>
                </wp:anchor>
              </w:drawing>
            </w:r>
            <w:r w:rsidR="00ED7461">
              <w:rPr>
                <w:b/>
                <w:sz w:val="28"/>
              </w:rPr>
              <w:t>28 avril 2025 : p</w:t>
            </w:r>
            <w:r>
              <w:rPr>
                <w:b/>
                <w:sz w:val="28"/>
              </w:rPr>
              <w:t xml:space="preserve">oste  </w:t>
            </w:r>
            <w:r w:rsidR="00382A8E">
              <w:rPr>
                <w:b/>
                <w:sz w:val="28"/>
              </w:rPr>
              <w:t xml:space="preserve">à pourvoir à INSAF </w:t>
            </w:r>
          </w:p>
          <w:p w:rsidR="00610705" w:rsidRDefault="00382A8E">
            <w:pPr>
              <w:spacing w:after="0"/>
              <w:ind w:left="940"/>
              <w:jc w:val="center"/>
            </w:pPr>
            <w:r>
              <w:rPr>
                <w:b/>
                <w:sz w:val="28"/>
              </w:rPr>
              <w:t>Chargé(e) de la relation p</w:t>
            </w:r>
            <w:r w:rsidR="00B70869">
              <w:rPr>
                <w:b/>
                <w:sz w:val="28"/>
              </w:rPr>
              <w:t xml:space="preserve">artenaires </w:t>
            </w:r>
          </w:p>
        </w:tc>
      </w:tr>
    </w:tbl>
    <w:p w:rsidR="00610705" w:rsidRDefault="00B70869">
      <w:pPr>
        <w:spacing w:after="0"/>
        <w:ind w:right="4461"/>
        <w:jc w:val="right"/>
      </w:pPr>
      <w:r>
        <w:rPr>
          <w:noProof/>
        </w:rPr>
        <mc:AlternateContent>
          <mc:Choice Requires="wpg">
            <w:drawing>
              <wp:anchor distT="0" distB="0" distL="114300" distR="114300" simplePos="0" relativeHeight="251659264" behindDoc="0" locked="0" layoutInCell="1" allowOverlap="1">
                <wp:simplePos x="0" y="0"/>
                <wp:positionH relativeFrom="page">
                  <wp:posOffset>762305</wp:posOffset>
                </wp:positionH>
                <wp:positionV relativeFrom="page">
                  <wp:posOffset>-87248</wp:posOffset>
                </wp:positionV>
                <wp:extent cx="28587" cy="128839"/>
                <wp:effectExtent l="0" t="0" r="0" b="0"/>
                <wp:wrapTopAndBottom/>
                <wp:docPr id="2064" name="Group 2064"/>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6" name="Rectangle 6"/>
                        <wps:cNvSpPr/>
                        <wps:spPr>
                          <a:xfrm>
                            <a:off x="0" y="0"/>
                            <a:ext cx="38021" cy="171355"/>
                          </a:xfrm>
                          <a:prstGeom prst="rect">
                            <a:avLst/>
                          </a:prstGeom>
                          <a:ln>
                            <a:noFill/>
                          </a:ln>
                        </wps:spPr>
                        <wps:txbx>
                          <w:txbxContent>
                            <w:p w:rsidR="00610705" w:rsidRDefault="00B70869">
                              <w:r>
                                <w:rPr>
                                  <w:sz w:val="20"/>
                                </w:rPr>
                                <w:t xml:space="preserve"> </w:t>
                              </w:r>
                            </w:p>
                          </w:txbxContent>
                        </wps:txbx>
                        <wps:bodyPr horzOverflow="overflow" vert="horz" lIns="0" tIns="0" rIns="0" bIns="0" rtlCol="0">
                          <a:noAutofit/>
                        </wps:bodyPr>
                      </wps:wsp>
                    </wpg:wgp>
                  </a:graphicData>
                </a:graphic>
              </wp:anchor>
            </w:drawing>
          </mc:Choice>
          <mc:Fallback>
            <w:pict>
              <v:group id="Group 2064" o:spid="_x0000_s1026" style="position:absolute;left:0;text-align:left;margin-left:60pt;margin-top:-6.85pt;width:2.25pt;height:10.15pt;z-index:251659264;mso-position-horizontal-relative:page;mso-position-vertical-relative:page" coordsize="28587,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">
                <v:rect id="Rectangle 6" o:spid="_x0000_s1027" style="position:absolute;width:38021;height:17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10705" w:rsidRDefault="00B70869">
                        <w:r>
                          <w:rPr>
                            <w:sz w:val="20"/>
                          </w:rPr>
                          <w:t xml:space="preserve"> </w:t>
                        </w:r>
                      </w:p>
                    </w:txbxContent>
                  </v:textbox>
                </v:rect>
                <w10:wrap type="topAndBottom" anchorx="page" anchory="page"/>
              </v:group>
            </w:pict>
          </mc:Fallback>
        </mc:AlternateContent>
      </w:r>
      <w:r>
        <w:rPr>
          <w:sz w:val="24"/>
        </w:rPr>
        <w:t xml:space="preserve"> </w:t>
      </w:r>
    </w:p>
    <w:tbl>
      <w:tblPr>
        <w:tblStyle w:val="TableGrid"/>
        <w:tblW w:w="10346" w:type="dxa"/>
        <w:tblInd w:w="7" w:type="dxa"/>
        <w:tblCellMar>
          <w:top w:w="0" w:type="dxa"/>
          <w:left w:w="0" w:type="dxa"/>
          <w:bottom w:w="0" w:type="dxa"/>
          <w:right w:w="229" w:type="dxa"/>
        </w:tblCellMar>
        <w:tblLook w:val="04A0" w:firstRow="1" w:lastRow="0" w:firstColumn="1" w:lastColumn="0" w:noHBand="0" w:noVBand="1"/>
      </w:tblPr>
      <w:tblGrid>
        <w:gridCol w:w="10346"/>
      </w:tblGrid>
      <w:tr w:rsidR="00610705">
        <w:trPr>
          <w:trHeight w:val="365"/>
        </w:trPr>
        <w:tc>
          <w:tcPr>
            <w:tcW w:w="10346" w:type="dxa"/>
            <w:tcBorders>
              <w:top w:val="single" w:sz="4" w:space="0" w:color="999999"/>
              <w:left w:val="single" w:sz="8" w:space="0" w:color="999999"/>
              <w:bottom w:val="single" w:sz="4" w:space="0" w:color="999999"/>
              <w:right w:val="single" w:sz="8" w:space="0" w:color="999999"/>
            </w:tcBorders>
            <w:shd w:val="clear" w:color="auto" w:fill="F79646"/>
          </w:tcPr>
          <w:p w:rsidR="00610705" w:rsidRDefault="00B70869">
            <w:pPr>
              <w:spacing w:after="0"/>
              <w:ind w:left="52"/>
              <w:jc w:val="center"/>
            </w:pPr>
            <w:r>
              <w:rPr>
                <w:b/>
                <w:sz w:val="24"/>
              </w:rPr>
              <w:t xml:space="preserve">Mission principale </w:t>
            </w:r>
            <w:r w:rsidR="00382A8E">
              <w:rPr>
                <w:b/>
                <w:sz w:val="24"/>
              </w:rPr>
              <w:t xml:space="preserve">du Chargé (e) de relations partenaires </w:t>
            </w:r>
          </w:p>
        </w:tc>
      </w:tr>
      <w:tr w:rsidR="00610705">
        <w:trPr>
          <w:trHeight w:val="899"/>
        </w:trPr>
        <w:tc>
          <w:tcPr>
            <w:tcW w:w="10346" w:type="dxa"/>
            <w:tcBorders>
              <w:top w:val="single" w:sz="4" w:space="0" w:color="999999"/>
              <w:left w:val="single" w:sz="8" w:space="0" w:color="999999"/>
              <w:bottom w:val="single" w:sz="8" w:space="0" w:color="999999"/>
              <w:right w:val="single" w:sz="8" w:space="0" w:color="999999"/>
            </w:tcBorders>
          </w:tcPr>
          <w:p w:rsidR="00610705" w:rsidRDefault="00B70869">
            <w:pPr>
              <w:spacing w:after="0"/>
              <w:ind w:left="428" w:right="61"/>
              <w:jc w:val="both"/>
            </w:pPr>
            <w:r>
              <w:rPr>
                <w:sz w:val="24"/>
              </w:rPr>
              <w:t xml:space="preserve">Contribuer à la mise en œuvre des activités du Département Développement et Partenariats, en participant à la recherche de financements, à la gestion des partenariats, et à la communication avec les parties prenantes. </w:t>
            </w:r>
          </w:p>
        </w:tc>
      </w:tr>
      <w:tr w:rsidR="00610705">
        <w:trPr>
          <w:trHeight w:val="372"/>
        </w:trPr>
        <w:tc>
          <w:tcPr>
            <w:tcW w:w="10346" w:type="dxa"/>
            <w:tcBorders>
              <w:top w:val="single" w:sz="8" w:space="0" w:color="999999"/>
              <w:left w:val="single" w:sz="8" w:space="0" w:color="999999"/>
              <w:bottom w:val="single" w:sz="8" w:space="0" w:color="999999"/>
              <w:right w:val="single" w:sz="8" w:space="0" w:color="999999"/>
            </w:tcBorders>
            <w:shd w:val="clear" w:color="auto" w:fill="F79646"/>
          </w:tcPr>
          <w:p w:rsidR="00610705" w:rsidRDefault="00B70869">
            <w:pPr>
              <w:tabs>
                <w:tab w:val="center" w:pos="118"/>
                <w:tab w:val="center" w:pos="5094"/>
                <w:tab w:val="center" w:pos="6741"/>
              </w:tabs>
              <w:spacing w:after="0"/>
            </w:pPr>
            <w:r>
              <w:tab/>
            </w:r>
            <w:r>
              <w:rPr>
                <w:b/>
                <w:sz w:val="24"/>
              </w:rPr>
              <w:t xml:space="preserve"> </w:t>
            </w:r>
            <w:r>
              <w:rPr>
                <w:b/>
                <w:sz w:val="24"/>
              </w:rPr>
              <w:tab/>
              <w:t xml:space="preserve">Attributions </w:t>
            </w:r>
            <w:r>
              <w:rPr>
                <w:b/>
                <w:sz w:val="24"/>
              </w:rPr>
              <w:tab/>
              <w:t xml:space="preserve"> </w:t>
            </w:r>
          </w:p>
        </w:tc>
      </w:tr>
      <w:tr w:rsidR="00610705">
        <w:trPr>
          <w:trHeight w:val="8807"/>
        </w:trPr>
        <w:tc>
          <w:tcPr>
            <w:tcW w:w="10346" w:type="dxa"/>
            <w:tcBorders>
              <w:top w:val="single" w:sz="8" w:space="0" w:color="999999"/>
              <w:left w:val="single" w:sz="8" w:space="0" w:color="999999"/>
              <w:bottom w:val="single" w:sz="4" w:space="0" w:color="000000"/>
              <w:right w:val="single" w:sz="8" w:space="0" w:color="999999"/>
            </w:tcBorders>
          </w:tcPr>
          <w:p w:rsidR="00ED7461" w:rsidRDefault="00B70869" w:rsidP="00ED7461">
            <w:pPr>
              <w:spacing w:after="225"/>
            </w:pPr>
            <w:r>
              <w:rPr>
                <w:b/>
                <w:sz w:val="24"/>
              </w:rPr>
              <w:t xml:space="preserve">Soutien à la </w:t>
            </w:r>
            <w:r>
              <w:rPr>
                <w:b/>
                <w:sz w:val="24"/>
              </w:rPr>
              <w:t xml:space="preserve">recherche de financements et développement de partenariats </w:t>
            </w:r>
          </w:p>
          <w:p w:rsidR="00610705" w:rsidRDefault="00ED7461" w:rsidP="00ED7461">
            <w:pPr>
              <w:spacing w:after="225"/>
            </w:pPr>
            <w:r>
              <w:t xml:space="preserve">         </w:t>
            </w:r>
            <w:r w:rsidR="00B70869">
              <w:rPr>
                <w:sz w:val="24"/>
              </w:rPr>
              <w:t xml:space="preserve">Recherche et veille sur les appels à projets </w:t>
            </w:r>
            <w:r>
              <w:rPr>
                <w:sz w:val="24"/>
              </w:rPr>
              <w:t xml:space="preserve">et opportunités de financement </w:t>
            </w:r>
            <w:r w:rsidR="00B70869">
              <w:rPr>
                <w:sz w:val="24"/>
              </w:rPr>
              <w:t xml:space="preserve"> </w:t>
            </w:r>
          </w:p>
          <w:p w:rsidR="00610705" w:rsidRDefault="00B70869">
            <w:pPr>
              <w:numPr>
                <w:ilvl w:val="0"/>
                <w:numId w:val="1"/>
              </w:numPr>
              <w:spacing w:after="13"/>
              <w:ind w:left="427" w:hanging="360"/>
            </w:pPr>
            <w:r>
              <w:rPr>
                <w:sz w:val="24"/>
              </w:rPr>
              <w:t xml:space="preserve">Préparation des dossiers de candidature sous la </w:t>
            </w:r>
            <w:r w:rsidR="00ED7461">
              <w:rPr>
                <w:sz w:val="24"/>
              </w:rPr>
              <w:t>supervision de la Responsable du Département</w:t>
            </w:r>
          </w:p>
          <w:p w:rsidR="00610705" w:rsidRDefault="00B70869">
            <w:pPr>
              <w:numPr>
                <w:ilvl w:val="0"/>
                <w:numId w:val="1"/>
              </w:numPr>
              <w:spacing w:after="0" w:line="240" w:lineRule="auto"/>
              <w:ind w:left="427" w:hanging="360"/>
            </w:pPr>
            <w:r>
              <w:rPr>
                <w:sz w:val="24"/>
              </w:rPr>
              <w:t xml:space="preserve">Collecte et organisation des documents nécessaires pour les demandes de financement </w:t>
            </w:r>
            <w:r w:rsidR="00ED7461">
              <w:rPr>
                <w:sz w:val="24"/>
              </w:rPr>
              <w:t>et les rapports aux partenaires</w:t>
            </w:r>
            <w:r>
              <w:rPr>
                <w:b/>
                <w:sz w:val="24"/>
              </w:rPr>
              <w:t xml:space="preserve"> </w:t>
            </w:r>
            <w:r>
              <w:rPr>
                <w:sz w:val="24"/>
              </w:rPr>
              <w:t xml:space="preserve"> </w:t>
            </w:r>
          </w:p>
          <w:p w:rsidR="00610705" w:rsidRDefault="00B70869">
            <w:pPr>
              <w:spacing w:after="0"/>
              <w:ind w:left="718"/>
            </w:pPr>
            <w:r>
              <w:rPr>
                <w:sz w:val="24"/>
              </w:rPr>
              <w:t xml:space="preserve"> </w:t>
            </w:r>
          </w:p>
          <w:p w:rsidR="00610705" w:rsidRDefault="00B70869">
            <w:pPr>
              <w:spacing w:after="13"/>
              <w:ind w:left="-2"/>
            </w:pPr>
            <w:r>
              <w:rPr>
                <w:b/>
                <w:sz w:val="24"/>
              </w:rPr>
              <w:t xml:space="preserve"> Appui aux événements et sensibilisation</w:t>
            </w:r>
            <w:r>
              <w:rPr>
                <w:sz w:val="24"/>
              </w:rPr>
              <w:t xml:space="preserve"> </w:t>
            </w:r>
          </w:p>
          <w:p w:rsidR="00610705" w:rsidRDefault="00B70869">
            <w:pPr>
              <w:numPr>
                <w:ilvl w:val="0"/>
                <w:numId w:val="1"/>
              </w:numPr>
              <w:spacing w:after="13"/>
              <w:ind w:left="427" w:hanging="360"/>
            </w:pPr>
            <w:r>
              <w:rPr>
                <w:sz w:val="24"/>
              </w:rPr>
              <w:t>Soutien à l’organisation logistique des événements liés aux partenaires et bailleurs de fonds</w:t>
            </w:r>
            <w:r w:rsidR="00ED7461">
              <w:rPr>
                <w:sz w:val="24"/>
              </w:rPr>
              <w:t xml:space="preserve"> </w:t>
            </w:r>
          </w:p>
          <w:p w:rsidR="00ED7461" w:rsidRPr="00ED7461" w:rsidRDefault="00B70869">
            <w:pPr>
              <w:numPr>
                <w:ilvl w:val="0"/>
                <w:numId w:val="1"/>
              </w:numPr>
              <w:spacing w:after="0" w:line="272" w:lineRule="auto"/>
              <w:ind w:left="427" w:hanging="360"/>
            </w:pPr>
            <w:r>
              <w:rPr>
                <w:sz w:val="24"/>
              </w:rPr>
              <w:t>Coordination des supports de communication (b</w:t>
            </w:r>
            <w:r w:rsidR="00ED7461">
              <w:rPr>
                <w:sz w:val="24"/>
              </w:rPr>
              <w:t xml:space="preserve">rochures, présentations, etc.) </w:t>
            </w:r>
            <w:r>
              <w:rPr>
                <w:sz w:val="24"/>
              </w:rPr>
              <w:t xml:space="preserve"> </w:t>
            </w:r>
          </w:p>
          <w:p w:rsidR="00610705" w:rsidRDefault="00B70869">
            <w:pPr>
              <w:numPr>
                <w:ilvl w:val="0"/>
                <w:numId w:val="1"/>
              </w:numPr>
              <w:spacing w:after="0" w:line="272" w:lineRule="auto"/>
              <w:ind w:left="427" w:hanging="360"/>
            </w:pPr>
            <w:r>
              <w:rPr>
                <w:sz w:val="24"/>
              </w:rPr>
              <w:t xml:space="preserve">Participation aux campagnes de sensibilisation </w:t>
            </w:r>
            <w:r w:rsidR="00ED7461">
              <w:rPr>
                <w:sz w:val="24"/>
              </w:rPr>
              <w:t>et mobilisation des partenaires</w:t>
            </w:r>
            <w:r>
              <w:rPr>
                <w:b/>
                <w:sz w:val="24"/>
              </w:rPr>
              <w:t xml:space="preserve"> </w:t>
            </w:r>
          </w:p>
          <w:p w:rsidR="00610705" w:rsidRDefault="00B70869">
            <w:pPr>
              <w:spacing w:after="0"/>
              <w:ind w:left="-2"/>
            </w:pPr>
            <w:r>
              <w:rPr>
                <w:b/>
                <w:sz w:val="24"/>
              </w:rPr>
              <w:t xml:space="preserve">  </w:t>
            </w:r>
          </w:p>
          <w:p w:rsidR="00610705" w:rsidRDefault="00B70869">
            <w:pPr>
              <w:spacing w:after="14"/>
              <w:ind w:left="-2"/>
            </w:pPr>
            <w:r>
              <w:rPr>
                <w:b/>
                <w:sz w:val="24"/>
              </w:rPr>
              <w:t xml:space="preserve"> Gestion administrative et reporting </w:t>
            </w:r>
          </w:p>
          <w:p w:rsidR="00610705" w:rsidRDefault="00B70869">
            <w:pPr>
              <w:numPr>
                <w:ilvl w:val="0"/>
                <w:numId w:val="1"/>
              </w:numPr>
              <w:spacing w:after="13"/>
              <w:ind w:left="427" w:hanging="360"/>
            </w:pPr>
            <w:r>
              <w:rPr>
                <w:sz w:val="24"/>
              </w:rPr>
              <w:t>Appui à la rédaction et à la mise en forme des rapports annu</w:t>
            </w:r>
            <w:r w:rsidR="00ED7461">
              <w:rPr>
                <w:sz w:val="24"/>
              </w:rPr>
              <w:t xml:space="preserve">els et bilans des partenariats </w:t>
            </w:r>
            <w:r>
              <w:rPr>
                <w:sz w:val="24"/>
              </w:rPr>
              <w:t xml:space="preserve"> </w:t>
            </w:r>
          </w:p>
          <w:p w:rsidR="00ED7461" w:rsidRPr="00ED7461" w:rsidRDefault="00B70869">
            <w:pPr>
              <w:numPr>
                <w:ilvl w:val="0"/>
                <w:numId w:val="1"/>
              </w:numPr>
              <w:spacing w:after="0" w:line="270" w:lineRule="auto"/>
              <w:ind w:left="427" w:hanging="360"/>
            </w:pPr>
            <w:r>
              <w:rPr>
                <w:sz w:val="24"/>
              </w:rPr>
              <w:t>Suivi des échéances et des engagements avec les partenaires (courrie</w:t>
            </w:r>
            <w:r w:rsidR="00ED7461">
              <w:rPr>
                <w:sz w:val="24"/>
              </w:rPr>
              <w:t>rs, relances, comptes rendus)</w:t>
            </w:r>
          </w:p>
          <w:p w:rsidR="00610705" w:rsidRDefault="00B70869">
            <w:pPr>
              <w:numPr>
                <w:ilvl w:val="0"/>
                <w:numId w:val="1"/>
              </w:numPr>
              <w:spacing w:after="0" w:line="270" w:lineRule="auto"/>
              <w:ind w:left="427" w:hanging="360"/>
            </w:pPr>
            <w:r>
              <w:rPr>
                <w:sz w:val="24"/>
              </w:rPr>
              <w:t xml:space="preserve">Rédaction de </w:t>
            </w:r>
            <w:r w:rsidR="00ED7461">
              <w:rPr>
                <w:sz w:val="24"/>
              </w:rPr>
              <w:t>lettres de</w:t>
            </w:r>
            <w:r>
              <w:rPr>
                <w:sz w:val="24"/>
              </w:rPr>
              <w:t xml:space="preserve"> remerciements, deman</w:t>
            </w:r>
            <w:r w:rsidR="00ED7461">
              <w:rPr>
                <w:sz w:val="24"/>
              </w:rPr>
              <w:t xml:space="preserve">des de dons, invitations, etc. </w:t>
            </w:r>
          </w:p>
          <w:p w:rsidR="00610705" w:rsidRDefault="00B70869">
            <w:pPr>
              <w:numPr>
                <w:ilvl w:val="0"/>
                <w:numId w:val="1"/>
              </w:numPr>
              <w:spacing w:after="0"/>
              <w:ind w:left="427" w:hanging="360"/>
            </w:pPr>
            <w:r>
              <w:rPr>
                <w:sz w:val="24"/>
              </w:rPr>
              <w:t>Gestion administrative des dossiers liés au</w:t>
            </w:r>
            <w:r w:rsidR="00ED7461">
              <w:rPr>
                <w:sz w:val="24"/>
              </w:rPr>
              <w:t>x partenariats et financements</w:t>
            </w:r>
          </w:p>
          <w:p w:rsidR="00610705" w:rsidRDefault="00B70869">
            <w:pPr>
              <w:spacing w:after="0"/>
              <w:ind w:left="-2"/>
            </w:pPr>
            <w:r>
              <w:rPr>
                <w:sz w:val="24"/>
              </w:rPr>
              <w:t xml:space="preserve"> </w:t>
            </w:r>
          </w:p>
          <w:p w:rsidR="00610705" w:rsidRDefault="00B70869">
            <w:pPr>
              <w:spacing w:after="13"/>
              <w:ind w:left="-2"/>
            </w:pPr>
            <w:r>
              <w:rPr>
                <w:b/>
                <w:sz w:val="24"/>
              </w:rPr>
              <w:t xml:space="preserve">Maintien et renforcement des relations avec les donateurs </w:t>
            </w:r>
          </w:p>
          <w:p w:rsidR="00610705" w:rsidRDefault="00B70869">
            <w:pPr>
              <w:numPr>
                <w:ilvl w:val="0"/>
                <w:numId w:val="1"/>
              </w:numPr>
              <w:spacing w:after="13"/>
              <w:ind w:left="427" w:hanging="360"/>
            </w:pPr>
            <w:r>
              <w:rPr>
                <w:sz w:val="24"/>
              </w:rPr>
              <w:t>Envoi des vœux, rapports d’activités et lettres de rem</w:t>
            </w:r>
            <w:r w:rsidR="00ED7461">
              <w:rPr>
                <w:sz w:val="24"/>
              </w:rPr>
              <w:t xml:space="preserve">erciements aux donateurs </w:t>
            </w:r>
          </w:p>
          <w:p w:rsidR="00610705" w:rsidRDefault="00B70869">
            <w:pPr>
              <w:numPr>
                <w:ilvl w:val="0"/>
                <w:numId w:val="1"/>
              </w:numPr>
              <w:spacing w:after="13"/>
              <w:ind w:left="427" w:hanging="360"/>
            </w:pPr>
            <w:r>
              <w:rPr>
                <w:sz w:val="24"/>
              </w:rPr>
              <w:t>Suivi des relations avec les donateurs réguliers (dons récurr</w:t>
            </w:r>
            <w:r w:rsidR="00ED7461">
              <w:rPr>
                <w:sz w:val="24"/>
              </w:rPr>
              <w:t xml:space="preserve">ents, impacts des dons, etc.) </w:t>
            </w:r>
          </w:p>
          <w:p w:rsidR="00610705" w:rsidRDefault="00B70869">
            <w:pPr>
              <w:numPr>
                <w:ilvl w:val="0"/>
                <w:numId w:val="1"/>
              </w:numPr>
              <w:spacing w:after="0"/>
              <w:ind w:left="427" w:hanging="360"/>
            </w:pPr>
            <w:r>
              <w:rPr>
                <w:sz w:val="24"/>
              </w:rPr>
              <w:t>Personnalisation des communications pour renfo</w:t>
            </w:r>
            <w:r w:rsidR="00ED7461">
              <w:rPr>
                <w:sz w:val="24"/>
              </w:rPr>
              <w:t>rcer l’engagement des donateurs</w:t>
            </w:r>
            <w:r>
              <w:rPr>
                <w:sz w:val="24"/>
              </w:rPr>
              <w:t xml:space="preserve"> </w:t>
            </w:r>
          </w:p>
          <w:p w:rsidR="00610705" w:rsidRDefault="00B70869">
            <w:pPr>
              <w:spacing w:after="0"/>
              <w:ind w:left="-2"/>
            </w:pPr>
            <w:r>
              <w:rPr>
                <w:sz w:val="24"/>
              </w:rPr>
              <w:t xml:space="preserve"> </w:t>
            </w:r>
          </w:p>
          <w:p w:rsidR="00610705" w:rsidRDefault="00382A8E">
            <w:pPr>
              <w:spacing w:after="16"/>
              <w:ind w:left="-2"/>
              <w:rPr>
                <w:b/>
                <w:color w:val="F79646"/>
                <w:sz w:val="24"/>
              </w:rPr>
            </w:pPr>
            <w:r>
              <w:rPr>
                <w:b/>
                <w:color w:val="F79646"/>
                <w:sz w:val="24"/>
              </w:rPr>
              <w:t xml:space="preserve">PROFIL : Bac plus 3 minimum en communication, développement social, relations internationales ou domaine équivalent </w:t>
            </w:r>
          </w:p>
          <w:p w:rsidR="00382A8E" w:rsidRDefault="00382A8E">
            <w:pPr>
              <w:spacing w:after="16"/>
              <w:ind w:left="-2"/>
            </w:pPr>
            <w:r>
              <w:rPr>
                <w:b/>
                <w:color w:val="F79646"/>
                <w:sz w:val="24"/>
              </w:rPr>
              <w:t xml:space="preserve">Maîtrise du français et de l’arabe. Anglais est un atout. </w:t>
            </w:r>
          </w:p>
          <w:p w:rsidR="00610705" w:rsidRDefault="00382A8E" w:rsidP="00382A8E">
            <w:pPr>
              <w:spacing w:after="0"/>
              <w:rPr>
                <w:sz w:val="24"/>
              </w:rPr>
            </w:pPr>
            <w:r>
              <w:rPr>
                <w:sz w:val="24"/>
              </w:rPr>
              <w:t xml:space="preserve">Première expérience dans un poste similaire serait appréciée.  </w:t>
            </w:r>
            <w:r w:rsidR="00B70869">
              <w:rPr>
                <w:sz w:val="24"/>
              </w:rPr>
              <w:t xml:space="preserve"> </w:t>
            </w:r>
          </w:p>
          <w:p w:rsidR="00382A8E" w:rsidRDefault="00382A8E" w:rsidP="00382A8E">
            <w:pPr>
              <w:spacing w:after="0"/>
              <w:rPr>
                <w:sz w:val="24"/>
              </w:rPr>
            </w:pPr>
          </w:p>
          <w:p w:rsidR="00382A8E" w:rsidRDefault="00382A8E" w:rsidP="00382A8E">
            <w:pPr>
              <w:spacing w:after="0"/>
              <w:rPr>
                <w:sz w:val="24"/>
              </w:rPr>
            </w:pPr>
            <w:r>
              <w:rPr>
                <w:sz w:val="24"/>
              </w:rPr>
              <w:t>Les candidat</w:t>
            </w:r>
            <w:r w:rsidR="00ED7461">
              <w:rPr>
                <w:sz w:val="24"/>
              </w:rPr>
              <w:t>.e</w:t>
            </w:r>
            <w:r>
              <w:rPr>
                <w:sz w:val="24"/>
              </w:rPr>
              <w:t>s intéressé</w:t>
            </w:r>
            <w:r w:rsidR="00B70869">
              <w:rPr>
                <w:sz w:val="24"/>
              </w:rPr>
              <w:t>.e</w:t>
            </w:r>
            <w:r>
              <w:rPr>
                <w:sz w:val="24"/>
              </w:rPr>
              <w:t>s sont prié</w:t>
            </w:r>
            <w:r w:rsidR="00B70869">
              <w:rPr>
                <w:sz w:val="24"/>
              </w:rPr>
              <w:t>.e</w:t>
            </w:r>
            <w:r>
              <w:rPr>
                <w:sz w:val="24"/>
              </w:rPr>
              <w:t xml:space="preserve">s d’envoyer leur CV et lettre de motivation à l’adresse suivante : </w:t>
            </w:r>
          </w:p>
          <w:p w:rsidR="00382A8E" w:rsidRDefault="00382A8E" w:rsidP="00382A8E">
            <w:pPr>
              <w:spacing w:after="0"/>
            </w:pPr>
            <w:hyperlink r:id="rId6" w:history="1">
              <w:r w:rsidRPr="000E06C4">
                <w:rPr>
                  <w:rStyle w:val="Lienhypertexte"/>
                  <w:sz w:val="24"/>
                </w:rPr>
                <w:t>contact@insaf.ma</w:t>
              </w:r>
            </w:hyperlink>
            <w:r>
              <w:rPr>
                <w:sz w:val="24"/>
              </w:rPr>
              <w:t xml:space="preserve"> au plus tard le </w:t>
            </w:r>
            <w:r w:rsidR="00ED7461">
              <w:rPr>
                <w:b/>
                <w:sz w:val="24"/>
              </w:rPr>
              <w:t>19</w:t>
            </w:r>
            <w:r w:rsidR="00ED7461" w:rsidRPr="00ED7461">
              <w:rPr>
                <w:b/>
                <w:sz w:val="24"/>
              </w:rPr>
              <w:t xml:space="preserve"> mai 2025.</w:t>
            </w:r>
            <w:r w:rsidR="00ED7461">
              <w:rPr>
                <w:sz w:val="24"/>
              </w:rPr>
              <w:t xml:space="preserve"> </w:t>
            </w:r>
          </w:p>
        </w:tc>
      </w:tr>
    </w:tbl>
    <w:p w:rsidR="00610705" w:rsidRDefault="00B70869" w:rsidP="00B70869">
      <w:pPr>
        <w:spacing w:after="0"/>
        <w:ind w:left="284"/>
      </w:pPr>
      <w:r>
        <w:rPr>
          <w:sz w:val="24"/>
        </w:rPr>
        <w:t xml:space="preserve"> </w:t>
      </w:r>
      <w:bookmarkStart w:id="0" w:name="_GoBack"/>
      <w:bookmarkEnd w:id="0"/>
    </w:p>
    <w:sectPr w:rsidR="00610705">
      <w:pgSz w:w="11911" w:h="16841"/>
      <w:pgMar w:top="233" w:right="1440" w:bottom="1229"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F0D04"/>
    <w:multiLevelType w:val="hybridMultilevel"/>
    <w:tmpl w:val="2000E562"/>
    <w:lvl w:ilvl="0" w:tplc="8A1CDE42">
      <w:start w:val="1"/>
      <w:numFmt w:val="bullet"/>
      <w:lvlText w:val="•"/>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98B18A">
      <w:start w:val="1"/>
      <w:numFmt w:val="bullet"/>
      <w:lvlText w:val="o"/>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AA79F6">
      <w:start w:val="1"/>
      <w:numFmt w:val="bullet"/>
      <w:lvlText w:val="▪"/>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AA0846">
      <w:start w:val="1"/>
      <w:numFmt w:val="bullet"/>
      <w:lvlText w:val="•"/>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47E6">
      <w:start w:val="1"/>
      <w:numFmt w:val="bullet"/>
      <w:lvlText w:val="o"/>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58C906">
      <w:start w:val="1"/>
      <w:numFmt w:val="bullet"/>
      <w:lvlText w:val="▪"/>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A255EE">
      <w:start w:val="1"/>
      <w:numFmt w:val="bullet"/>
      <w:lvlText w:val="•"/>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FA3138">
      <w:start w:val="1"/>
      <w:numFmt w:val="bullet"/>
      <w:lvlText w:val="o"/>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F8BA44">
      <w:start w:val="1"/>
      <w:numFmt w:val="bullet"/>
      <w:lvlText w:val="▪"/>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5"/>
    <w:rsid w:val="00382A8E"/>
    <w:rsid w:val="00610705"/>
    <w:rsid w:val="00B70869"/>
    <w:rsid w:val="00C04E15"/>
    <w:rsid w:val="00ED7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92F24-87B2-4B1A-A3EB-CD74C51C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382A8E"/>
    <w:rPr>
      <w:color w:val="0563C1" w:themeColor="hyperlink"/>
      <w:u w:val="single"/>
    </w:rPr>
  </w:style>
  <w:style w:type="paragraph" w:styleId="Textedebulles">
    <w:name w:val="Balloon Text"/>
    <w:basedOn w:val="Normal"/>
    <w:link w:val="TextedebullesCar"/>
    <w:uiPriority w:val="99"/>
    <w:semiHidden/>
    <w:unhideWhenUsed/>
    <w:rsid w:val="00ED74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46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insaf.m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DELL</cp:lastModifiedBy>
  <cp:revision>4</cp:revision>
  <cp:lastPrinted>2025-04-27T14:55:00Z</cp:lastPrinted>
  <dcterms:created xsi:type="dcterms:W3CDTF">2025-04-27T14:38:00Z</dcterms:created>
  <dcterms:modified xsi:type="dcterms:W3CDTF">2025-04-27T14:59:00Z</dcterms:modified>
</cp:coreProperties>
</file>