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81173" w14:textId="3FBA231D" w:rsidR="00C62848" w:rsidRDefault="008408B9" w:rsidP="00CD04B3">
      <w:pPr>
        <w:jc w:val="right"/>
      </w:pPr>
      <w:r>
        <w:t>Rabat, le 07/03/2025</w:t>
      </w:r>
    </w:p>
    <w:p w14:paraId="0036835D" w14:textId="77777777" w:rsidR="00C62848" w:rsidRDefault="00C62848">
      <w:pPr>
        <w:rPr>
          <w:b/>
          <w:bCs/>
          <w:sz w:val="24"/>
          <w:szCs w:val="24"/>
        </w:rPr>
      </w:pPr>
    </w:p>
    <w:p w14:paraId="70DB5300" w14:textId="77777777" w:rsidR="00777BD0" w:rsidRPr="00CD04B3" w:rsidRDefault="00777BD0">
      <w:pPr>
        <w:rPr>
          <w:b/>
          <w:bCs/>
          <w:sz w:val="24"/>
          <w:szCs w:val="24"/>
        </w:rPr>
      </w:pPr>
    </w:p>
    <w:p w14:paraId="0F266642" w14:textId="2DC57F6E" w:rsidR="00C62848" w:rsidRPr="00CD04B3" w:rsidRDefault="00C62848" w:rsidP="00C62848">
      <w:pPr>
        <w:jc w:val="center"/>
        <w:rPr>
          <w:b/>
          <w:bCs/>
          <w:sz w:val="24"/>
          <w:szCs w:val="24"/>
        </w:rPr>
      </w:pPr>
      <w:r w:rsidRPr="00CD04B3">
        <w:rPr>
          <w:b/>
          <w:bCs/>
          <w:sz w:val="24"/>
          <w:szCs w:val="24"/>
        </w:rPr>
        <w:t xml:space="preserve">Communiqué de presse </w:t>
      </w:r>
    </w:p>
    <w:p w14:paraId="4F3C8288" w14:textId="49D4946A" w:rsidR="00C62848" w:rsidRPr="00CD04B3" w:rsidRDefault="00C62848" w:rsidP="00C62848">
      <w:pPr>
        <w:jc w:val="center"/>
        <w:rPr>
          <w:b/>
          <w:bCs/>
          <w:sz w:val="24"/>
          <w:szCs w:val="24"/>
        </w:rPr>
      </w:pPr>
      <w:r w:rsidRPr="00CD04B3">
        <w:rPr>
          <w:b/>
          <w:bCs/>
          <w:sz w:val="24"/>
          <w:szCs w:val="24"/>
        </w:rPr>
        <w:t xml:space="preserve">8 mars 2025 </w:t>
      </w:r>
    </w:p>
    <w:p w14:paraId="1C65B872" w14:textId="2D03CBCF" w:rsidR="006C3B67" w:rsidRPr="00CD04B3" w:rsidRDefault="00661A57" w:rsidP="00C62848">
      <w:pPr>
        <w:jc w:val="center"/>
        <w:rPr>
          <w:b/>
          <w:bCs/>
          <w:sz w:val="24"/>
          <w:szCs w:val="24"/>
        </w:rPr>
      </w:pPr>
      <w:r w:rsidRPr="00CD04B3">
        <w:rPr>
          <w:b/>
          <w:bCs/>
          <w:sz w:val="24"/>
          <w:szCs w:val="24"/>
        </w:rPr>
        <w:t>« </w:t>
      </w:r>
      <w:r w:rsidR="006C3B67" w:rsidRPr="00CD04B3">
        <w:rPr>
          <w:b/>
          <w:bCs/>
          <w:sz w:val="24"/>
          <w:szCs w:val="24"/>
        </w:rPr>
        <w:t>Femme</w:t>
      </w:r>
      <w:r w:rsidRPr="00CD04B3">
        <w:rPr>
          <w:b/>
          <w:bCs/>
          <w:sz w:val="24"/>
          <w:szCs w:val="24"/>
        </w:rPr>
        <w:t>s</w:t>
      </w:r>
      <w:r w:rsidR="006C3B67" w:rsidRPr="00CD04B3">
        <w:rPr>
          <w:b/>
          <w:bCs/>
          <w:sz w:val="24"/>
          <w:szCs w:val="24"/>
        </w:rPr>
        <w:t>, migration et développement</w:t>
      </w:r>
      <w:r w:rsidRPr="00CD04B3">
        <w:rPr>
          <w:b/>
          <w:bCs/>
          <w:sz w:val="24"/>
          <w:szCs w:val="24"/>
        </w:rPr>
        <w:t> »</w:t>
      </w:r>
      <w:r w:rsidR="006C3B67" w:rsidRPr="00CD04B3">
        <w:rPr>
          <w:b/>
          <w:bCs/>
          <w:sz w:val="24"/>
          <w:szCs w:val="24"/>
        </w:rPr>
        <w:t xml:space="preserve"> un guide pour le développement de projet</w:t>
      </w:r>
      <w:r w:rsidRPr="00CD04B3">
        <w:rPr>
          <w:b/>
          <w:bCs/>
          <w:sz w:val="24"/>
          <w:szCs w:val="24"/>
        </w:rPr>
        <w:t xml:space="preserve">s </w:t>
      </w:r>
      <w:r w:rsidR="006C3B67" w:rsidRPr="00CD04B3">
        <w:rPr>
          <w:b/>
          <w:bCs/>
          <w:sz w:val="24"/>
          <w:szCs w:val="24"/>
        </w:rPr>
        <w:t>à destination de la société civile</w:t>
      </w:r>
    </w:p>
    <w:p w14:paraId="5094DCB5" w14:textId="77777777" w:rsidR="006C3B67" w:rsidRPr="00CD04B3" w:rsidRDefault="006C3B67" w:rsidP="00C62848">
      <w:pPr>
        <w:jc w:val="center"/>
        <w:rPr>
          <w:sz w:val="24"/>
          <w:szCs w:val="24"/>
        </w:rPr>
      </w:pPr>
    </w:p>
    <w:p w14:paraId="387E37C9" w14:textId="77777777" w:rsidR="006C3B67" w:rsidRPr="00CD04B3" w:rsidRDefault="006C3B67" w:rsidP="00C62848">
      <w:pPr>
        <w:jc w:val="both"/>
        <w:rPr>
          <w:sz w:val="24"/>
          <w:szCs w:val="24"/>
        </w:rPr>
      </w:pPr>
    </w:p>
    <w:p w14:paraId="5448C337" w14:textId="7B42311A" w:rsidR="006D2589" w:rsidRPr="00CD04B3" w:rsidRDefault="006C3B67" w:rsidP="00C62848">
      <w:pPr>
        <w:jc w:val="both"/>
        <w:rPr>
          <w:b/>
          <w:bCs/>
          <w:sz w:val="24"/>
          <w:szCs w:val="24"/>
        </w:rPr>
      </w:pPr>
      <w:r w:rsidRPr="00CD04B3">
        <w:rPr>
          <w:sz w:val="24"/>
          <w:szCs w:val="24"/>
        </w:rPr>
        <w:t xml:space="preserve">Le programme régional des initiatives de la migration (PRIM) rend public à l’occasion du 8 mars, </w:t>
      </w:r>
      <w:r w:rsidRPr="00CD04B3">
        <w:rPr>
          <w:b/>
          <w:bCs/>
          <w:sz w:val="24"/>
          <w:szCs w:val="24"/>
        </w:rPr>
        <w:t xml:space="preserve">un guide à destination des acteurs de la société civile pour </w:t>
      </w:r>
      <w:r w:rsidR="006D2589" w:rsidRPr="00CD04B3">
        <w:rPr>
          <w:b/>
          <w:bCs/>
          <w:sz w:val="24"/>
          <w:szCs w:val="24"/>
        </w:rPr>
        <w:t xml:space="preserve">aider à la conception et à la formulation d’un projet sur la migration sensible au genre. </w:t>
      </w:r>
    </w:p>
    <w:p w14:paraId="15090D4B" w14:textId="29AFB06E" w:rsidR="00661A57" w:rsidRPr="00CD04B3" w:rsidRDefault="00661A57" w:rsidP="00C62848">
      <w:pPr>
        <w:jc w:val="both"/>
        <w:rPr>
          <w:sz w:val="24"/>
          <w:szCs w:val="24"/>
        </w:rPr>
      </w:pPr>
      <w:r w:rsidRPr="00CD04B3">
        <w:rPr>
          <w:sz w:val="24"/>
          <w:szCs w:val="24"/>
        </w:rPr>
        <w:t>Le guide qui s’articule autour de deux parties</w:t>
      </w:r>
      <w:r w:rsidR="007B59AD" w:rsidRPr="00CD04B3">
        <w:rPr>
          <w:sz w:val="24"/>
          <w:szCs w:val="24"/>
        </w:rPr>
        <w:t> : une partie</w:t>
      </w:r>
      <w:r w:rsidRPr="00CD04B3">
        <w:rPr>
          <w:sz w:val="24"/>
          <w:szCs w:val="24"/>
        </w:rPr>
        <w:t xml:space="preserve"> conceptuelle et une</w:t>
      </w:r>
      <w:r w:rsidR="007B59AD" w:rsidRPr="00CD04B3">
        <w:rPr>
          <w:sz w:val="24"/>
          <w:szCs w:val="24"/>
        </w:rPr>
        <w:t xml:space="preserve"> autre</w:t>
      </w:r>
      <w:r w:rsidRPr="00CD04B3">
        <w:rPr>
          <w:sz w:val="24"/>
          <w:szCs w:val="24"/>
        </w:rPr>
        <w:t xml:space="preserve"> technique et pratique</w:t>
      </w:r>
      <w:r w:rsidR="00D7677A" w:rsidRPr="00CD04B3">
        <w:rPr>
          <w:sz w:val="24"/>
          <w:szCs w:val="24"/>
        </w:rPr>
        <w:t>,</w:t>
      </w:r>
      <w:r w:rsidRPr="00CD04B3">
        <w:rPr>
          <w:sz w:val="24"/>
          <w:szCs w:val="24"/>
        </w:rPr>
        <w:t xml:space="preserve"> contient d</w:t>
      </w:r>
      <w:r w:rsidR="006C3B67" w:rsidRPr="00CD04B3">
        <w:rPr>
          <w:sz w:val="24"/>
          <w:szCs w:val="24"/>
        </w:rPr>
        <w:t>es exemples concrets sur plusieurs thématiques pour permettre aux associations de s’appuyer sur un référentiel en matière de formulation d’un projet portant sur la migration sensible au genre.</w:t>
      </w:r>
      <w:r w:rsidRPr="00CD04B3">
        <w:rPr>
          <w:sz w:val="24"/>
          <w:szCs w:val="24"/>
        </w:rPr>
        <w:t xml:space="preserve"> Le document contient </w:t>
      </w:r>
      <w:r w:rsidR="00C62848" w:rsidRPr="00CD04B3">
        <w:rPr>
          <w:sz w:val="24"/>
          <w:szCs w:val="24"/>
        </w:rPr>
        <w:t xml:space="preserve">également </w:t>
      </w:r>
      <w:r w:rsidRPr="00CD04B3">
        <w:rPr>
          <w:sz w:val="24"/>
          <w:szCs w:val="24"/>
        </w:rPr>
        <w:t>des conseils</w:t>
      </w:r>
      <w:r w:rsidR="00C62848" w:rsidRPr="00CD04B3">
        <w:rPr>
          <w:sz w:val="24"/>
          <w:szCs w:val="24"/>
        </w:rPr>
        <w:t xml:space="preserve"> pratiques</w:t>
      </w:r>
      <w:r w:rsidRPr="00CD04B3">
        <w:rPr>
          <w:sz w:val="24"/>
          <w:szCs w:val="24"/>
        </w:rPr>
        <w:t xml:space="preserve"> et des outils </w:t>
      </w:r>
      <w:r w:rsidR="00C62848" w:rsidRPr="00CD04B3">
        <w:rPr>
          <w:sz w:val="24"/>
          <w:szCs w:val="24"/>
        </w:rPr>
        <w:t>sur 26</w:t>
      </w:r>
      <w:r w:rsidRPr="00CD04B3">
        <w:rPr>
          <w:sz w:val="24"/>
          <w:szCs w:val="24"/>
        </w:rPr>
        <w:t xml:space="preserve"> pages. Il est </w:t>
      </w:r>
      <w:r w:rsidR="00C62848" w:rsidRPr="00CD04B3">
        <w:rPr>
          <w:sz w:val="24"/>
          <w:szCs w:val="24"/>
        </w:rPr>
        <w:t>accompagné</w:t>
      </w:r>
      <w:r w:rsidRPr="00CD04B3">
        <w:rPr>
          <w:sz w:val="24"/>
          <w:szCs w:val="24"/>
        </w:rPr>
        <w:t xml:space="preserve"> d’illustrations afin de faciliter la compréhension de son contenu.  </w:t>
      </w:r>
    </w:p>
    <w:p w14:paraId="5491CB10" w14:textId="5BC199AC" w:rsidR="00661A57" w:rsidRPr="00CD04B3" w:rsidRDefault="00661A57" w:rsidP="00C62848">
      <w:pPr>
        <w:jc w:val="both"/>
        <w:rPr>
          <w:sz w:val="24"/>
          <w:szCs w:val="24"/>
        </w:rPr>
      </w:pPr>
      <w:r w:rsidRPr="00CD04B3">
        <w:rPr>
          <w:sz w:val="24"/>
          <w:szCs w:val="24"/>
        </w:rPr>
        <w:t xml:space="preserve">Il est important de rappeler que </w:t>
      </w:r>
      <w:r w:rsidR="00D7677A" w:rsidRPr="00CD04B3">
        <w:rPr>
          <w:sz w:val="24"/>
          <w:szCs w:val="24"/>
        </w:rPr>
        <w:t xml:space="preserve">Ce </w:t>
      </w:r>
      <w:r w:rsidRPr="00CD04B3">
        <w:rPr>
          <w:sz w:val="24"/>
          <w:szCs w:val="24"/>
        </w:rPr>
        <w:t xml:space="preserve">guide </w:t>
      </w:r>
      <w:r w:rsidR="00D7677A" w:rsidRPr="00CD04B3">
        <w:rPr>
          <w:sz w:val="24"/>
          <w:szCs w:val="24"/>
        </w:rPr>
        <w:t xml:space="preserve">a été </w:t>
      </w:r>
      <w:r w:rsidRPr="00CD04B3">
        <w:rPr>
          <w:sz w:val="24"/>
          <w:szCs w:val="24"/>
        </w:rPr>
        <w:t xml:space="preserve">réalisé dans </w:t>
      </w:r>
      <w:r w:rsidR="00D7677A" w:rsidRPr="00CD04B3">
        <w:rPr>
          <w:sz w:val="24"/>
          <w:szCs w:val="24"/>
        </w:rPr>
        <w:t xml:space="preserve">le </w:t>
      </w:r>
      <w:r w:rsidR="007B59AD" w:rsidRPr="00CD04B3">
        <w:rPr>
          <w:sz w:val="24"/>
          <w:szCs w:val="24"/>
        </w:rPr>
        <w:t>cadre des</w:t>
      </w:r>
      <w:r w:rsidRPr="00CD04B3">
        <w:rPr>
          <w:sz w:val="24"/>
          <w:szCs w:val="24"/>
        </w:rPr>
        <w:t xml:space="preserve"> actions de PRIM</w:t>
      </w:r>
      <w:r w:rsidR="00D7677A" w:rsidRPr="00CD04B3">
        <w:rPr>
          <w:sz w:val="24"/>
          <w:szCs w:val="24"/>
        </w:rPr>
        <w:t>,</w:t>
      </w:r>
      <w:r w:rsidRPr="00CD04B3">
        <w:rPr>
          <w:sz w:val="24"/>
          <w:szCs w:val="24"/>
        </w:rPr>
        <w:t xml:space="preserve"> notamment la dynamique d’accompagnement des acteurs pour la reformulation de leurs projets en intégrant la dimension genre dans </w:t>
      </w:r>
      <w:r w:rsidR="00C62848" w:rsidRPr="00CD04B3">
        <w:rPr>
          <w:sz w:val="24"/>
          <w:szCs w:val="24"/>
        </w:rPr>
        <w:t>les différentes phases :</w:t>
      </w:r>
      <w:r w:rsidRPr="00CD04B3">
        <w:rPr>
          <w:sz w:val="24"/>
          <w:szCs w:val="24"/>
        </w:rPr>
        <w:t xml:space="preserve"> </w:t>
      </w:r>
      <w:r w:rsidR="00C62848" w:rsidRPr="00CD04B3">
        <w:rPr>
          <w:sz w:val="24"/>
          <w:szCs w:val="24"/>
        </w:rPr>
        <w:t>leur</w:t>
      </w:r>
      <w:r w:rsidRPr="00CD04B3">
        <w:rPr>
          <w:sz w:val="24"/>
          <w:szCs w:val="24"/>
        </w:rPr>
        <w:t xml:space="preserve"> élaboration, mise en œuvre et </w:t>
      </w:r>
      <w:r w:rsidR="00C62848" w:rsidRPr="00CD04B3">
        <w:rPr>
          <w:sz w:val="24"/>
          <w:szCs w:val="24"/>
        </w:rPr>
        <w:t xml:space="preserve">leur </w:t>
      </w:r>
      <w:r w:rsidRPr="00CD04B3">
        <w:rPr>
          <w:sz w:val="24"/>
          <w:szCs w:val="24"/>
        </w:rPr>
        <w:t>évaluation.</w:t>
      </w:r>
    </w:p>
    <w:p w14:paraId="680DB9DA" w14:textId="6EDBCEDF" w:rsidR="00C62848" w:rsidRPr="00CD04B3" w:rsidRDefault="00C62848" w:rsidP="00C62848">
      <w:pPr>
        <w:jc w:val="both"/>
        <w:rPr>
          <w:sz w:val="24"/>
          <w:szCs w:val="24"/>
        </w:rPr>
      </w:pPr>
      <w:r w:rsidRPr="00CD04B3">
        <w:rPr>
          <w:sz w:val="24"/>
          <w:szCs w:val="24"/>
        </w:rPr>
        <w:t>Il convient de rappeler que projet PRIM est un projet mis en œuvre par Expertise France en partenariat avec le MAEC, les Conseils régionaux du Souss Massa et de l’Oriental. Il a pour but l’appui à la régionalisation de la politique migratoire adoptée par le Maroc à travers les deux stratégies : la Stratégie Nationale d’Immigration et d’Asile (SNIA) et la Stratégie Nationale en direction des Marocains Résidants à l’Etranger (SNMRE) ainsi que la stratégie Régionale adoptée par le Conseil de la région Souss-Massa.</w:t>
      </w:r>
    </w:p>
    <w:p w14:paraId="719FD72E" w14:textId="77777777" w:rsidR="00C62848" w:rsidRPr="00CD04B3" w:rsidRDefault="00C62848" w:rsidP="00C62848">
      <w:pPr>
        <w:jc w:val="both"/>
        <w:rPr>
          <w:sz w:val="24"/>
          <w:szCs w:val="24"/>
        </w:rPr>
      </w:pPr>
      <w:r w:rsidRPr="00CD04B3">
        <w:rPr>
          <w:sz w:val="24"/>
          <w:szCs w:val="24"/>
        </w:rPr>
        <w:t>Financé par l’AFD avec un montant de 9 millions d’euros, il vise deux régions pilotes : la région du Souss Massa et la région de l’oriental. Il est composé de Trois axes d’intervention : Le financement de projets régionaux migrations (1), L’accompagnement social et administratif des Marocains Résident à l’Etranger (MRE) et des immigrés (2), L’amélioration de l’égalité femmes-hommes dans l’accès aux services (3).</w:t>
      </w:r>
    </w:p>
    <w:p w14:paraId="1B9406CF" w14:textId="413C4F8E" w:rsidR="007B59AD" w:rsidRPr="00CD04B3" w:rsidRDefault="007B59AD" w:rsidP="00C62848">
      <w:pPr>
        <w:jc w:val="both"/>
        <w:rPr>
          <w:sz w:val="24"/>
          <w:szCs w:val="24"/>
        </w:rPr>
      </w:pPr>
      <w:r w:rsidRPr="00CD04B3">
        <w:rPr>
          <w:sz w:val="24"/>
          <w:szCs w:val="24"/>
        </w:rPr>
        <w:t xml:space="preserve">Pour télécharger le guide sur le site :  </w:t>
      </w:r>
      <w:hyperlink r:id="rId6" w:history="1">
        <w:r w:rsidRPr="00CD04B3">
          <w:rPr>
            <w:rStyle w:val="Lienhypertexte"/>
            <w:sz w:val="24"/>
            <w:szCs w:val="24"/>
          </w:rPr>
          <w:t>Guid</w:t>
        </w:r>
        <w:r w:rsidRPr="00CD04B3">
          <w:rPr>
            <w:rStyle w:val="Lienhypertexte"/>
            <w:sz w:val="24"/>
            <w:szCs w:val="24"/>
          </w:rPr>
          <w:t>e</w:t>
        </w:r>
        <w:r w:rsidRPr="00CD04B3">
          <w:rPr>
            <w:rStyle w:val="Lienhypertexte"/>
            <w:sz w:val="24"/>
            <w:szCs w:val="24"/>
          </w:rPr>
          <w:t>-Prim-3-VF-final.pdf</w:t>
        </w:r>
      </w:hyperlink>
    </w:p>
    <w:p w14:paraId="1F99275E" w14:textId="3672AAC3" w:rsidR="00661A57" w:rsidRDefault="00661A57" w:rsidP="00C62848">
      <w:pPr>
        <w:rPr>
          <w:rFonts w:ascii="Aptos" w:hAnsi="Aptos" w:cstheme="majorHAnsi"/>
          <w:color w:val="auto"/>
          <w:szCs w:val="20"/>
        </w:rPr>
      </w:pPr>
    </w:p>
    <w:p w14:paraId="14FAF926" w14:textId="5381E022" w:rsidR="00F0156E" w:rsidRPr="00CD04B3" w:rsidRDefault="00F0156E" w:rsidP="008408B9">
      <w:pPr>
        <w:rPr>
          <w:rFonts w:ascii="Traditional Arabic" w:hAnsi="Traditional Arabic" w:cs="Traditional Arabic"/>
          <w:color w:val="auto"/>
          <w:sz w:val="32"/>
          <w:szCs w:val="32"/>
        </w:rPr>
      </w:pPr>
    </w:p>
    <w:sectPr w:rsidR="00F0156E" w:rsidRPr="00CD04B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EC5B6" w14:textId="77777777" w:rsidR="008408B9" w:rsidRDefault="008408B9" w:rsidP="008408B9">
      <w:pPr>
        <w:spacing w:before="0" w:after="0" w:line="240" w:lineRule="auto"/>
      </w:pPr>
      <w:r>
        <w:separator/>
      </w:r>
    </w:p>
  </w:endnote>
  <w:endnote w:type="continuationSeparator" w:id="0">
    <w:p w14:paraId="5C988C52" w14:textId="77777777" w:rsidR="008408B9" w:rsidRDefault="008408B9" w:rsidP="008408B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B1ED7" w14:textId="77777777" w:rsidR="008408B9" w:rsidRDefault="008408B9" w:rsidP="008408B9">
    <w:pPr>
      <w:pStyle w:val="Pieddepage"/>
      <w:ind w:left="-426"/>
      <w:rPr>
        <w:caps/>
        <w:color w:val="156082" w:themeColor="accent1"/>
      </w:rPr>
    </w:pPr>
    <w:bookmarkStart w:id="0" w:name="_Hlk192245903"/>
    <w:r>
      <w:rPr>
        <w:noProof/>
      </w:rPr>
      <w:drawing>
        <wp:anchor distT="0" distB="0" distL="114300" distR="114300" simplePos="0" relativeHeight="251662336" behindDoc="1" locked="0" layoutInCell="1" allowOverlap="1" wp14:anchorId="4C5AF120" wp14:editId="07817BD2">
          <wp:simplePos x="0" y="0"/>
          <wp:positionH relativeFrom="column">
            <wp:posOffset>5501005</wp:posOffset>
          </wp:positionH>
          <wp:positionV relativeFrom="paragraph">
            <wp:posOffset>165735</wp:posOffset>
          </wp:positionV>
          <wp:extent cx="703580" cy="792628"/>
          <wp:effectExtent l="0" t="0" r="1270" b="7620"/>
          <wp:wrapNone/>
          <wp:docPr id="134079772" name="Image 3" descr="Une image contenant texte, couronne, symbole, écuss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079772" name="Image 3" descr="Une image contenant texte, couronne, symbole, écuss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792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6D53FD4" wp14:editId="4DF9B89E">
          <wp:simplePos x="0" y="0"/>
          <wp:positionH relativeFrom="column">
            <wp:posOffset>4892675</wp:posOffset>
          </wp:positionH>
          <wp:positionV relativeFrom="paragraph">
            <wp:posOffset>165735</wp:posOffset>
          </wp:positionV>
          <wp:extent cx="558165" cy="645795"/>
          <wp:effectExtent l="0" t="0" r="0" b="1905"/>
          <wp:wrapThrough wrapText="bothSides">
            <wp:wrapPolygon edited="0">
              <wp:start x="0" y="0"/>
              <wp:lineTo x="0" y="21027"/>
              <wp:lineTo x="20642" y="21027"/>
              <wp:lineTo x="20642" y="0"/>
              <wp:lineTo x="0" y="0"/>
            </wp:wrapPolygon>
          </wp:wrapThrough>
          <wp:docPr id="1129701954" name="Image 1" descr="Une image contenant texte, logo, Police, conceptio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9701954" name="Image 1" descr="Une image contenant texte, logo, Police, conception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C6E8AC3" wp14:editId="0411A922">
          <wp:simplePos x="0" y="0"/>
          <wp:positionH relativeFrom="column">
            <wp:posOffset>2653030</wp:posOffset>
          </wp:positionH>
          <wp:positionV relativeFrom="paragraph">
            <wp:posOffset>280035</wp:posOffset>
          </wp:positionV>
          <wp:extent cx="2152650" cy="390525"/>
          <wp:effectExtent l="0" t="0" r="0" b="9525"/>
          <wp:wrapThrough wrapText="bothSides">
            <wp:wrapPolygon edited="0">
              <wp:start x="2294" y="0"/>
              <wp:lineTo x="1338" y="4215"/>
              <wp:lineTo x="191" y="13698"/>
              <wp:lineTo x="0" y="17912"/>
              <wp:lineTo x="0" y="21073"/>
              <wp:lineTo x="20453" y="21073"/>
              <wp:lineTo x="21409" y="21073"/>
              <wp:lineTo x="21409" y="17912"/>
              <wp:lineTo x="21027" y="5268"/>
              <wp:lineTo x="20453" y="0"/>
              <wp:lineTo x="2294" y="0"/>
            </wp:wrapPolygon>
          </wp:wrapThrough>
          <wp:docPr id="943417766" name="Image 2" descr="Une image contenant capture d’écran, texte, symbol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417766" name="Image 2" descr="Une image contenant capture d’écran, texte, symbol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0CCDA95" wp14:editId="177A6760">
          <wp:simplePos x="0" y="0"/>
          <wp:positionH relativeFrom="column">
            <wp:posOffset>1471930</wp:posOffset>
          </wp:positionH>
          <wp:positionV relativeFrom="paragraph">
            <wp:posOffset>165735</wp:posOffset>
          </wp:positionV>
          <wp:extent cx="1127760" cy="579120"/>
          <wp:effectExtent l="0" t="0" r="0" b="0"/>
          <wp:wrapTight wrapText="bothSides">
            <wp:wrapPolygon edited="0">
              <wp:start x="730" y="2842"/>
              <wp:lineTo x="730" y="17763"/>
              <wp:lineTo x="17149" y="17763"/>
              <wp:lineTo x="17514" y="15632"/>
              <wp:lineTo x="20068" y="5684"/>
              <wp:lineTo x="20068" y="2842"/>
              <wp:lineTo x="730" y="2842"/>
            </wp:wrapPolygon>
          </wp:wrapTight>
          <wp:docPr id="1379609698" name="Image 3" descr="Une image contenant texte, Polic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9609698" name="Image 3" descr="Une image contenant texte, Police, capture d’écran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67E5B98" wp14:editId="64246807">
          <wp:extent cx="1631344" cy="741045"/>
          <wp:effectExtent l="0" t="0" r="6985" b="1905"/>
          <wp:docPr id="1274447764" name="Image 2" descr="Une image contenant texte, Police, capture d’écran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4447764" name="Image 2" descr="Une image contenant texte, Police, capture d’écran, logo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828" cy="746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2F2E">
      <w:t xml:space="preserve"> </w:t>
    </w:r>
  </w:p>
  <w:bookmarkEnd w:id="0"/>
  <w:p w14:paraId="710E97AF" w14:textId="77777777" w:rsidR="008408B9" w:rsidRDefault="008408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E3DB4" w14:textId="77777777" w:rsidR="008408B9" w:rsidRDefault="008408B9" w:rsidP="008408B9">
      <w:pPr>
        <w:spacing w:before="0" w:after="0" w:line="240" w:lineRule="auto"/>
      </w:pPr>
      <w:r>
        <w:separator/>
      </w:r>
    </w:p>
  </w:footnote>
  <w:footnote w:type="continuationSeparator" w:id="0">
    <w:p w14:paraId="753B47FF" w14:textId="77777777" w:rsidR="008408B9" w:rsidRDefault="008408B9" w:rsidP="008408B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0CFA5" w14:textId="59567112" w:rsidR="008408B9" w:rsidRDefault="008408B9" w:rsidP="00CD04B3">
    <w:pPr>
      <w:pStyle w:val="En-tte"/>
      <w:jc w:val="center"/>
    </w:pPr>
    <w:r>
      <w:rPr>
        <w:noProof/>
      </w:rPr>
      <w:drawing>
        <wp:inline distT="0" distB="0" distL="0" distR="0" wp14:anchorId="643CB0E7" wp14:editId="57B4BE7B">
          <wp:extent cx="2627154" cy="1403350"/>
          <wp:effectExtent l="0" t="0" r="1905" b="6350"/>
          <wp:docPr id="86647646" name="Image 1" descr="Une image contenant texte, Police, logo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47646" name="Image 1" descr="Une image contenant texte, Police, logo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0746" cy="1410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B67"/>
    <w:rsid w:val="0046634C"/>
    <w:rsid w:val="00661A57"/>
    <w:rsid w:val="00695B81"/>
    <w:rsid w:val="006C3B67"/>
    <w:rsid w:val="006D2589"/>
    <w:rsid w:val="00777BD0"/>
    <w:rsid w:val="007B59AD"/>
    <w:rsid w:val="008408B9"/>
    <w:rsid w:val="008B04A3"/>
    <w:rsid w:val="00AB181E"/>
    <w:rsid w:val="00C62848"/>
    <w:rsid w:val="00CD04B3"/>
    <w:rsid w:val="00D7677A"/>
    <w:rsid w:val="00F0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51D71"/>
  <w15:chartTrackingRefBased/>
  <w15:docId w15:val="{48D6AD21-B544-45FF-9BC9-8983BF70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B67"/>
    <w:pPr>
      <w:spacing w:before="120" w:after="120" w:line="100" w:lineRule="atLeast"/>
    </w:pPr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C3B6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C3B6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C3B6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C3B6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C3B6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C3B67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C3B6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C3B67"/>
    <w:pPr>
      <w:keepNext/>
      <w:keepLines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C3B67"/>
    <w:pPr>
      <w:keepNext/>
      <w:keepLines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C3B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C3B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C3B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C3B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C3B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C3B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C3B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C3B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C3B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C3B67"/>
    <w:pPr>
      <w:spacing w:before="0"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6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3B67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6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C3B67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6C3B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C3B67"/>
    <w:pPr>
      <w:spacing w:before="0" w:after="160" w:line="278" w:lineRule="auto"/>
      <w:ind w:left="720"/>
      <w:contextualSpacing/>
    </w:pPr>
    <w:rPr>
      <w:rFonts w:asciiTheme="minorHAnsi" w:eastAsiaTheme="minorHAnsi" w:hAnsiTheme="minorHAnsi"/>
      <w:color w:val="auto"/>
      <w:kern w:val="2"/>
      <w:sz w:val="24"/>
      <w:szCs w:val="24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6C3B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C3B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C3B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C3B67"/>
    <w:rPr>
      <w:b/>
      <w:bCs/>
      <w:smallCaps/>
      <w:color w:val="0F4761" w:themeColor="accent1" w:themeShade="BF"/>
      <w:spacing w:val="5"/>
    </w:rPr>
  </w:style>
  <w:style w:type="paragraph" w:styleId="Rvision">
    <w:name w:val="Revision"/>
    <w:hidden/>
    <w:uiPriority w:val="99"/>
    <w:semiHidden/>
    <w:rsid w:val="00F0156E"/>
    <w:pPr>
      <w:spacing w:after="0" w:line="240" w:lineRule="auto"/>
    </w:pPr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character" w:styleId="Lienhypertexte">
    <w:name w:val="Hyperlink"/>
    <w:basedOn w:val="Policepardfaut"/>
    <w:uiPriority w:val="99"/>
    <w:unhideWhenUsed/>
    <w:rsid w:val="008B04A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B04A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408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08B9"/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8408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08B9"/>
    <w:rPr>
      <w:rFonts w:ascii="Arial" w:eastAsiaTheme="minorEastAsia" w:hAnsi="Arial"/>
      <w:color w:val="0E2841" w:themeColor="text2"/>
      <w:kern w:val="0"/>
      <w:sz w:val="20"/>
      <w:szCs w:val="22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777BD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3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9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9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4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2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8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6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rim.ma/wp-content/uploads/2025/02/Guide-Prim-3-VF-final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352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Fadoua Maroub</dc:creator>
  <cp:keywords/>
  <dc:description/>
  <cp:lastModifiedBy>Fadoua Maroub</cp:lastModifiedBy>
  <cp:revision>4</cp:revision>
  <dcterms:created xsi:type="dcterms:W3CDTF">2025-03-07T13:24:00Z</dcterms:created>
  <dcterms:modified xsi:type="dcterms:W3CDTF">2025-03-07T13:27:00Z</dcterms:modified>
</cp:coreProperties>
</file>