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DF72" w14:textId="5342A10D" w:rsidR="00CF4E24" w:rsidRDefault="00C05926" w:rsidP="0082534B">
      <w:pPr>
        <w:spacing w:after="0" w:line="276" w:lineRule="auto"/>
        <w:jc w:val="right"/>
        <w:rPr>
          <w:rFonts w:ascii="Times New Roman" w:eastAsia="Times New Roman" w:hAnsi="Times New Roman" w:cs="Times New Roman"/>
          <w:b/>
          <w:bCs/>
          <w:u w:val="single"/>
          <w:lang w:eastAsia="fr-FR"/>
        </w:rPr>
      </w:pPr>
      <w:r w:rsidRPr="00DB4B75">
        <w:rPr>
          <w:rFonts w:ascii="Times New Roman" w:hAnsi="Times New Roman" w:cs="Times New Roman"/>
          <w:noProof/>
          <w:color w:val="00AEEF"/>
          <w:spacing w:val="-10"/>
          <w:lang w:eastAsia="fr-FR"/>
        </w:rPr>
        <w:drawing>
          <wp:inline distT="0" distB="0" distL="0" distR="0" wp14:anchorId="5290BC6C" wp14:editId="21159004">
            <wp:extent cx="768350" cy="768350"/>
            <wp:effectExtent l="0" t="0" r="0" b="0"/>
            <wp:docPr id="1952858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p w14:paraId="313C3856" w14:textId="77777777" w:rsidR="003D11E3" w:rsidRPr="00C84773" w:rsidRDefault="00CD3A2D" w:rsidP="00F87717">
      <w:pPr>
        <w:spacing w:after="0" w:line="276" w:lineRule="auto"/>
        <w:jc w:val="center"/>
        <w:rPr>
          <w:rFonts w:cstheme="minorHAnsi"/>
          <w:b/>
          <w:bCs/>
        </w:rPr>
      </w:pPr>
      <w:r w:rsidRPr="00C84773">
        <w:rPr>
          <w:rFonts w:eastAsia="Times New Roman" w:cstheme="minorHAnsi"/>
          <w:b/>
          <w:bCs/>
          <w:lang w:eastAsia="fr-FR"/>
        </w:rPr>
        <w:t xml:space="preserve">UNICEF </w:t>
      </w:r>
      <w:r w:rsidR="00F93344" w:rsidRPr="00C84773">
        <w:rPr>
          <w:rFonts w:eastAsia="Times New Roman" w:cstheme="minorHAnsi"/>
          <w:b/>
          <w:bCs/>
          <w:lang w:eastAsia="fr-FR"/>
        </w:rPr>
        <w:t>M</w:t>
      </w:r>
      <w:r w:rsidR="00E6145F" w:rsidRPr="00C84773">
        <w:rPr>
          <w:rFonts w:eastAsia="Times New Roman" w:cstheme="minorHAnsi"/>
          <w:b/>
          <w:bCs/>
          <w:lang w:eastAsia="fr-FR"/>
        </w:rPr>
        <w:t xml:space="preserve">aroc </w:t>
      </w:r>
      <w:r w:rsidR="006152CD" w:rsidRPr="00C84773">
        <w:rPr>
          <w:rFonts w:eastAsia="Times New Roman" w:cstheme="minorHAnsi"/>
          <w:b/>
          <w:bCs/>
          <w:lang w:eastAsia="fr-FR"/>
        </w:rPr>
        <w:t xml:space="preserve">lance un appel </w:t>
      </w:r>
      <w:r w:rsidR="003D11E3" w:rsidRPr="00C84773">
        <w:rPr>
          <w:rFonts w:eastAsia="Times New Roman" w:cstheme="minorHAnsi"/>
          <w:b/>
          <w:bCs/>
          <w:lang w:eastAsia="fr-FR"/>
        </w:rPr>
        <w:t>à</w:t>
      </w:r>
      <w:r w:rsidR="003D11E3" w:rsidRPr="00C84773">
        <w:rPr>
          <w:rFonts w:eastAsia="Times New Roman" w:cstheme="minorHAnsi"/>
          <w:b/>
          <w:bCs/>
          <w:u w:val="single"/>
          <w:lang w:eastAsia="fr-FR"/>
        </w:rPr>
        <w:t xml:space="preserve"> </w:t>
      </w:r>
      <w:r w:rsidR="005C44D2" w:rsidRPr="00C84773">
        <w:rPr>
          <w:rFonts w:cstheme="minorHAnsi"/>
          <w:b/>
          <w:bCs/>
        </w:rPr>
        <w:t>C</w:t>
      </w:r>
      <w:r w:rsidR="00CF4E24" w:rsidRPr="00C84773">
        <w:rPr>
          <w:rFonts w:cstheme="minorHAnsi"/>
          <w:b/>
          <w:bCs/>
        </w:rPr>
        <w:t>onsultation</w:t>
      </w:r>
      <w:r w:rsidR="00E76AE3" w:rsidRPr="00C84773">
        <w:rPr>
          <w:rFonts w:cstheme="minorHAnsi"/>
          <w:b/>
          <w:bCs/>
        </w:rPr>
        <w:t xml:space="preserve"> </w:t>
      </w:r>
      <w:r w:rsidR="005E4169" w:rsidRPr="00C84773">
        <w:rPr>
          <w:rFonts w:cstheme="minorHAnsi"/>
          <w:b/>
          <w:bCs/>
        </w:rPr>
        <w:t>national</w:t>
      </w:r>
      <w:r w:rsidR="005C5BE9" w:rsidRPr="00C84773">
        <w:rPr>
          <w:rFonts w:cstheme="minorHAnsi"/>
          <w:b/>
          <w:bCs/>
        </w:rPr>
        <w:t>e</w:t>
      </w:r>
      <w:r w:rsidR="005E4169" w:rsidRPr="00C84773">
        <w:rPr>
          <w:rFonts w:cstheme="minorHAnsi"/>
          <w:b/>
          <w:bCs/>
        </w:rPr>
        <w:t xml:space="preserve"> </w:t>
      </w:r>
    </w:p>
    <w:p w14:paraId="7798DF11" w14:textId="02206E83" w:rsidR="00C05926" w:rsidRPr="00C84773" w:rsidRDefault="008D6D15" w:rsidP="00F87717">
      <w:pPr>
        <w:spacing w:after="0" w:line="276" w:lineRule="auto"/>
        <w:jc w:val="center"/>
        <w:rPr>
          <w:rFonts w:cstheme="minorHAnsi"/>
          <w:b/>
          <w:bCs/>
        </w:rPr>
      </w:pPr>
      <w:proofErr w:type="gramStart"/>
      <w:r w:rsidRPr="00C84773">
        <w:rPr>
          <w:rFonts w:cstheme="minorHAnsi"/>
          <w:b/>
          <w:bCs/>
        </w:rPr>
        <w:t>pour</w:t>
      </w:r>
      <w:proofErr w:type="gramEnd"/>
      <w:r w:rsidRPr="00C84773">
        <w:rPr>
          <w:rFonts w:cstheme="minorHAnsi"/>
          <w:b/>
          <w:bCs/>
        </w:rPr>
        <w:t xml:space="preserve"> </w:t>
      </w:r>
      <w:r w:rsidR="005E4169" w:rsidRPr="00C84773">
        <w:rPr>
          <w:rFonts w:cstheme="minorHAnsi"/>
          <w:b/>
          <w:bCs/>
        </w:rPr>
        <w:t>l’</w:t>
      </w:r>
      <w:r w:rsidR="00E71CF5" w:rsidRPr="00C84773">
        <w:rPr>
          <w:rFonts w:cstheme="minorHAnsi"/>
          <w:b/>
          <w:bCs/>
        </w:rPr>
        <w:t>analyse</w:t>
      </w:r>
      <w:r w:rsidR="005E4169" w:rsidRPr="00C84773">
        <w:rPr>
          <w:rFonts w:cstheme="minorHAnsi"/>
          <w:b/>
          <w:bCs/>
        </w:rPr>
        <w:t xml:space="preserve"> </w:t>
      </w:r>
      <w:r w:rsidR="003753B4" w:rsidRPr="00C84773">
        <w:rPr>
          <w:rFonts w:cstheme="minorHAnsi"/>
          <w:b/>
          <w:bCs/>
        </w:rPr>
        <w:t>de</w:t>
      </w:r>
      <w:r w:rsidR="00FF7509" w:rsidRPr="00C84773">
        <w:rPr>
          <w:rFonts w:cstheme="minorHAnsi"/>
          <w:b/>
          <w:bCs/>
        </w:rPr>
        <w:t xml:space="preserve"> la santé environnementale des enfants au </w:t>
      </w:r>
      <w:r w:rsidR="003753B4" w:rsidRPr="00C84773">
        <w:rPr>
          <w:rFonts w:cstheme="minorHAnsi"/>
          <w:b/>
          <w:bCs/>
        </w:rPr>
        <w:t>Maroc</w:t>
      </w:r>
    </w:p>
    <w:p w14:paraId="147DA346" w14:textId="77777777" w:rsidR="00C05926" w:rsidRPr="00C84773" w:rsidRDefault="00C05926" w:rsidP="004F6FC0">
      <w:pPr>
        <w:pStyle w:val="ListParagraph"/>
        <w:autoSpaceDE w:val="0"/>
        <w:autoSpaceDN w:val="0"/>
        <w:adjustRightInd w:val="0"/>
        <w:spacing w:after="0" w:line="276" w:lineRule="auto"/>
        <w:jc w:val="both"/>
        <w:rPr>
          <w:rFonts w:cstheme="minorHAnsi"/>
          <w:b/>
          <w:bCs/>
        </w:rPr>
      </w:pPr>
    </w:p>
    <w:p w14:paraId="594F02C1" w14:textId="7DD76956" w:rsidR="000066ED" w:rsidRPr="00C84773" w:rsidRDefault="000066ED" w:rsidP="005F6DC7">
      <w:pPr>
        <w:shd w:val="clear" w:color="auto" w:fill="9CC2E5"/>
        <w:spacing w:after="0" w:line="276" w:lineRule="auto"/>
        <w:jc w:val="both"/>
        <w:rPr>
          <w:rFonts w:eastAsia="Times New Roman" w:cstheme="minorHAnsi"/>
          <w:b/>
          <w:bCs/>
          <w:lang w:eastAsia="fr-FR"/>
        </w:rPr>
      </w:pPr>
      <w:r w:rsidRPr="00C84773">
        <w:rPr>
          <w:rFonts w:eastAsia="Times New Roman" w:cstheme="minorHAnsi"/>
          <w:b/>
          <w:bCs/>
          <w:lang w:eastAsia="fr-FR"/>
        </w:rPr>
        <w:t>1. Contexte et justification</w:t>
      </w:r>
    </w:p>
    <w:p w14:paraId="7E6438E5" w14:textId="2C3D283E" w:rsidR="005C5BE9" w:rsidRPr="00C84773" w:rsidRDefault="005C5BE9" w:rsidP="005F6DC7">
      <w:pPr>
        <w:spacing w:after="0" w:line="276" w:lineRule="auto"/>
        <w:ind w:left="10"/>
        <w:jc w:val="both"/>
        <w:rPr>
          <w:rFonts w:cstheme="minorHAnsi"/>
        </w:rPr>
      </w:pPr>
      <w:r w:rsidRPr="00C84773">
        <w:rPr>
          <w:rFonts w:cstheme="minorHAnsi"/>
        </w:rPr>
        <w:t>Le changement climatique et la dégradation de l'environnement menacent d'anéantir les progrès en matière de survie, de santé et de bien-être des enfants et des adolescents. Dans le monde entier, les enfants sont confrontés à une multitude de dangers environnementaux, tels que la pollution de l'air, de l'eau et de l</w:t>
      </w:r>
      <w:r w:rsidR="00E71CF5" w:rsidRPr="00C84773">
        <w:rPr>
          <w:rFonts w:cstheme="minorHAnsi"/>
        </w:rPr>
        <w:t>’alimentation</w:t>
      </w:r>
      <w:r w:rsidR="003A418E" w:rsidRPr="00C84773">
        <w:rPr>
          <w:rFonts w:cstheme="minorHAnsi"/>
        </w:rPr>
        <w:t xml:space="preserve">, </w:t>
      </w:r>
      <w:r w:rsidRPr="00C84773">
        <w:rPr>
          <w:rFonts w:cstheme="minorHAnsi"/>
        </w:rPr>
        <w:t>l'exposition à des produits chimiques toxiques </w:t>
      </w:r>
      <w:r w:rsidR="003A418E" w:rsidRPr="00C84773">
        <w:rPr>
          <w:rFonts w:cstheme="minorHAnsi"/>
        </w:rPr>
        <w:t>et des</w:t>
      </w:r>
      <w:r w:rsidRPr="00C84773">
        <w:rPr>
          <w:rFonts w:cstheme="minorHAnsi"/>
        </w:rPr>
        <w:t xml:space="preserve"> infrastructures dangereuses </w:t>
      </w:r>
      <w:r w:rsidR="0004232A" w:rsidRPr="00C84773">
        <w:rPr>
          <w:rFonts w:cstheme="minorHAnsi"/>
        </w:rPr>
        <w:t xml:space="preserve">ainsi que </w:t>
      </w:r>
      <w:r w:rsidRPr="00C84773">
        <w:rPr>
          <w:rFonts w:cstheme="minorHAnsi"/>
        </w:rPr>
        <w:t xml:space="preserve">les menaces liées au </w:t>
      </w:r>
      <w:hyperlink r:id="rId9" w:history="1">
        <w:r w:rsidRPr="00C84773">
          <w:rPr>
            <w:rFonts w:cstheme="minorHAnsi"/>
          </w:rPr>
          <w:t>changement climatique</w:t>
        </w:r>
      </w:hyperlink>
      <w:r w:rsidRPr="00C84773">
        <w:rPr>
          <w:rFonts w:cstheme="minorHAnsi"/>
        </w:rPr>
        <w:t>. Des investissements, de l'attention, de la volonté politique et des actions urgent</w:t>
      </w:r>
      <w:r w:rsidR="003A418E" w:rsidRPr="00C84773">
        <w:rPr>
          <w:rFonts w:cstheme="minorHAnsi"/>
        </w:rPr>
        <w:t>e</w:t>
      </w:r>
      <w:r w:rsidRPr="00C84773">
        <w:rPr>
          <w:rFonts w:cstheme="minorHAnsi"/>
        </w:rPr>
        <w:t>s sont nécessaires pour faire face à ces menaces croissantes.</w:t>
      </w:r>
    </w:p>
    <w:p w14:paraId="515B5770" w14:textId="7F519E57" w:rsidR="007B0F27" w:rsidRPr="00C84773" w:rsidRDefault="005C5BE9" w:rsidP="004F6FC0">
      <w:pPr>
        <w:spacing w:after="120" w:line="276" w:lineRule="auto"/>
        <w:jc w:val="both"/>
        <w:rPr>
          <w:rFonts w:cstheme="minorHAnsi"/>
        </w:rPr>
      </w:pPr>
      <w:r w:rsidRPr="00C84773">
        <w:rPr>
          <w:rFonts w:cstheme="minorHAnsi"/>
        </w:rPr>
        <w:t>À l'échelle mondiale, 850 millions d'enfants, soit 1 sur 4, sont exposés à au moins quatre risques, chocs ou stress climatiques et environnementaux</w:t>
      </w:r>
      <w:r w:rsidRPr="00C84773">
        <w:rPr>
          <w:rStyle w:val="FootnoteReference"/>
          <w:rFonts w:cstheme="minorHAnsi"/>
        </w:rPr>
        <w:footnoteReference w:id="1"/>
      </w:r>
      <w:r w:rsidRPr="00C84773">
        <w:rPr>
          <w:rFonts w:cstheme="minorHAnsi"/>
        </w:rPr>
        <w:t xml:space="preserve">. Les enfants sont physiquement, physiologiquement, socialement et économiquement </w:t>
      </w:r>
      <w:r w:rsidR="003A418E" w:rsidRPr="00C84773">
        <w:rPr>
          <w:rFonts w:cstheme="minorHAnsi"/>
        </w:rPr>
        <w:t xml:space="preserve">les </w:t>
      </w:r>
      <w:r w:rsidRPr="00C84773">
        <w:rPr>
          <w:rFonts w:cstheme="minorHAnsi"/>
        </w:rPr>
        <w:t xml:space="preserve">plus vulnérables et </w:t>
      </w:r>
      <w:r w:rsidR="003A418E" w:rsidRPr="00C84773">
        <w:rPr>
          <w:rFonts w:cstheme="minorHAnsi"/>
        </w:rPr>
        <w:t xml:space="preserve">les </w:t>
      </w:r>
      <w:r w:rsidRPr="00C84773">
        <w:rPr>
          <w:rFonts w:cstheme="minorHAnsi"/>
        </w:rPr>
        <w:t xml:space="preserve">moins </w:t>
      </w:r>
      <w:r w:rsidR="003A418E" w:rsidRPr="00C84773">
        <w:rPr>
          <w:rFonts w:cstheme="minorHAnsi"/>
        </w:rPr>
        <w:t>aptes à</w:t>
      </w:r>
      <w:r w:rsidRPr="00C84773">
        <w:rPr>
          <w:rFonts w:cstheme="minorHAnsi"/>
        </w:rPr>
        <w:t xml:space="preserve"> survivre aux chocs causés par les </w:t>
      </w:r>
      <w:r w:rsidR="003A418E" w:rsidRPr="00C84773">
        <w:rPr>
          <w:rFonts w:cstheme="minorHAnsi"/>
        </w:rPr>
        <w:t xml:space="preserve">aléas climatiques </w:t>
      </w:r>
      <w:r w:rsidRPr="00C84773">
        <w:rPr>
          <w:rFonts w:cstheme="minorHAnsi"/>
        </w:rPr>
        <w:t xml:space="preserve">et l'exposition à des substances toxiques. </w:t>
      </w:r>
      <w:r w:rsidR="003A418E" w:rsidRPr="00C84773">
        <w:rPr>
          <w:rFonts w:cstheme="minorHAnsi"/>
        </w:rPr>
        <w:t xml:space="preserve">Ils </w:t>
      </w:r>
      <w:r w:rsidRPr="00C84773">
        <w:rPr>
          <w:rFonts w:cstheme="minorHAnsi"/>
        </w:rPr>
        <w:t xml:space="preserve">sont également </w:t>
      </w:r>
      <w:r w:rsidR="003A418E" w:rsidRPr="00C84773">
        <w:rPr>
          <w:rFonts w:cstheme="minorHAnsi"/>
        </w:rPr>
        <w:t>les plus</w:t>
      </w:r>
      <w:r w:rsidRPr="00C84773">
        <w:rPr>
          <w:rFonts w:cstheme="minorHAnsi"/>
        </w:rPr>
        <w:t xml:space="preserve"> </w:t>
      </w:r>
      <w:r w:rsidR="00651CDA" w:rsidRPr="00C84773">
        <w:rPr>
          <w:rFonts w:cstheme="minorHAnsi"/>
        </w:rPr>
        <w:t>à</w:t>
      </w:r>
      <w:r w:rsidRPr="00C84773">
        <w:rPr>
          <w:rFonts w:cstheme="minorHAnsi"/>
        </w:rPr>
        <w:t xml:space="preserve"> risque de mourir de maladies exacerbées par la pollution et le changement climatique, telles que la pneumonie, le paludisme et la diarrhée. L'</w:t>
      </w:r>
      <w:r w:rsidR="00651CDA" w:rsidRPr="00C84773">
        <w:rPr>
          <w:rFonts w:cstheme="minorHAnsi"/>
        </w:rPr>
        <w:t>o</w:t>
      </w:r>
      <w:r w:rsidRPr="00C84773">
        <w:rPr>
          <w:rFonts w:cstheme="minorHAnsi"/>
        </w:rPr>
        <w:t>rganisation mondiale de la santé (OMS) estime que 26 % des décès d'enfants p</w:t>
      </w:r>
      <w:r w:rsidR="00651CDA" w:rsidRPr="00C84773">
        <w:rPr>
          <w:rFonts w:cstheme="minorHAnsi"/>
        </w:rPr>
        <w:t>ourraient</w:t>
      </w:r>
      <w:r w:rsidRPr="00C84773">
        <w:rPr>
          <w:rFonts w:cstheme="minorHAnsi"/>
        </w:rPr>
        <w:t xml:space="preserve"> être évités en s'attaquant aux risques environnementaux.</w:t>
      </w:r>
      <w:r w:rsidR="007B0F27" w:rsidRPr="00C84773">
        <w:rPr>
          <w:rFonts w:cstheme="minorHAnsi"/>
        </w:rPr>
        <w:t xml:space="preserve"> </w:t>
      </w:r>
      <w:r w:rsidRPr="00C84773">
        <w:rPr>
          <w:rFonts w:cstheme="minorHAnsi"/>
        </w:rPr>
        <w:t>En 2021, l'UNICEF a mis en place</w:t>
      </w:r>
      <w:r w:rsidR="003A418E" w:rsidRPr="00C84773">
        <w:rPr>
          <w:rFonts w:cstheme="minorHAnsi"/>
        </w:rPr>
        <w:t xml:space="preserve"> l’initiative «</w:t>
      </w:r>
      <w:r w:rsidR="00D15175" w:rsidRPr="00C84773">
        <w:rPr>
          <w:rFonts w:cstheme="minorHAnsi"/>
        </w:rPr>
        <w:t xml:space="preserve"> des</w:t>
      </w:r>
      <w:r w:rsidR="003A418E" w:rsidRPr="00C84773">
        <w:rPr>
          <w:rFonts w:cstheme="minorHAnsi"/>
        </w:rPr>
        <w:t> </w:t>
      </w:r>
      <w:r w:rsidRPr="00C84773">
        <w:rPr>
          <w:rFonts w:cstheme="minorHAnsi"/>
        </w:rPr>
        <w:t>environnement</w:t>
      </w:r>
      <w:r w:rsidR="00D15175" w:rsidRPr="00C84773">
        <w:rPr>
          <w:rFonts w:cstheme="minorHAnsi"/>
        </w:rPr>
        <w:t>s</w:t>
      </w:r>
      <w:r w:rsidRPr="00C84773">
        <w:rPr>
          <w:rFonts w:cstheme="minorHAnsi"/>
        </w:rPr>
        <w:t xml:space="preserve"> sain</w:t>
      </w:r>
      <w:r w:rsidR="00D15175" w:rsidRPr="00C84773">
        <w:rPr>
          <w:rFonts w:cstheme="minorHAnsi"/>
        </w:rPr>
        <w:t>s</w:t>
      </w:r>
      <w:r w:rsidRPr="00C84773">
        <w:rPr>
          <w:rFonts w:cstheme="minorHAnsi"/>
        </w:rPr>
        <w:t xml:space="preserve"> pour des enfants en bonne santé</w:t>
      </w:r>
      <w:r w:rsidR="004007DE" w:rsidRPr="00C84773">
        <w:rPr>
          <w:rFonts w:cstheme="minorHAnsi"/>
        </w:rPr>
        <w:t> »</w:t>
      </w:r>
      <w:r w:rsidRPr="00C84773">
        <w:rPr>
          <w:rStyle w:val="FootnoteReference"/>
          <w:rFonts w:cstheme="minorHAnsi"/>
        </w:rPr>
        <w:footnoteReference w:id="2"/>
      </w:r>
      <w:r w:rsidR="003D4BE8" w:rsidRPr="00C84773">
        <w:rPr>
          <w:rFonts w:cstheme="minorHAnsi"/>
        </w:rPr>
        <w:t xml:space="preserve"> (</w:t>
      </w:r>
      <w:proofErr w:type="spellStart"/>
      <w:r w:rsidR="00051BED" w:rsidRPr="00C84773">
        <w:rPr>
          <w:rFonts w:cstheme="minorHAnsi"/>
        </w:rPr>
        <w:t>Healthy</w:t>
      </w:r>
      <w:proofErr w:type="spellEnd"/>
      <w:r w:rsidR="00051BED" w:rsidRPr="00C84773">
        <w:rPr>
          <w:rFonts w:cstheme="minorHAnsi"/>
        </w:rPr>
        <w:t xml:space="preserve"> </w:t>
      </w:r>
      <w:proofErr w:type="spellStart"/>
      <w:r w:rsidR="00051BED" w:rsidRPr="00C84773">
        <w:rPr>
          <w:rFonts w:cstheme="minorHAnsi"/>
        </w:rPr>
        <w:t>Environments</w:t>
      </w:r>
      <w:proofErr w:type="spellEnd"/>
      <w:r w:rsidR="00051BED" w:rsidRPr="00C84773">
        <w:rPr>
          <w:rFonts w:cstheme="minorHAnsi"/>
        </w:rPr>
        <w:t xml:space="preserve"> for </w:t>
      </w:r>
      <w:proofErr w:type="spellStart"/>
      <w:r w:rsidR="00051BED" w:rsidRPr="00C84773">
        <w:rPr>
          <w:rFonts w:cstheme="minorHAnsi"/>
        </w:rPr>
        <w:t>Healthy</w:t>
      </w:r>
      <w:proofErr w:type="spellEnd"/>
      <w:r w:rsidR="00051BED" w:rsidRPr="00C84773">
        <w:rPr>
          <w:rFonts w:cstheme="minorHAnsi"/>
        </w:rPr>
        <w:t xml:space="preserve"> </w:t>
      </w:r>
      <w:proofErr w:type="spellStart"/>
      <w:r w:rsidR="00051BED" w:rsidRPr="00C84773">
        <w:rPr>
          <w:rFonts w:cstheme="minorHAnsi"/>
        </w:rPr>
        <w:t>Children</w:t>
      </w:r>
      <w:proofErr w:type="spellEnd"/>
      <w:r w:rsidR="00051BED" w:rsidRPr="00C84773">
        <w:rPr>
          <w:rFonts w:cstheme="minorHAnsi"/>
        </w:rPr>
        <w:t xml:space="preserve"> ou HEHC en anglais)</w:t>
      </w:r>
      <w:r w:rsidRPr="00C84773">
        <w:rPr>
          <w:rFonts w:cstheme="minorHAnsi"/>
        </w:rPr>
        <w:t xml:space="preserve">, qui identifie les principaux dangers affectant la santé et le développement de l'enfant à l'échelle mondiale, et </w:t>
      </w:r>
      <w:r w:rsidR="0004232A" w:rsidRPr="00C84773">
        <w:rPr>
          <w:rFonts w:cstheme="minorHAnsi"/>
        </w:rPr>
        <w:t xml:space="preserve">propose </w:t>
      </w:r>
      <w:r w:rsidRPr="00C84773">
        <w:rPr>
          <w:rFonts w:cstheme="minorHAnsi"/>
        </w:rPr>
        <w:t>des</w:t>
      </w:r>
      <w:r w:rsidR="0004232A" w:rsidRPr="00C84773">
        <w:rPr>
          <w:rFonts w:cstheme="minorHAnsi"/>
        </w:rPr>
        <w:t xml:space="preserve"> actions multi-sectorielles intégrées pour y remédier</w:t>
      </w:r>
      <w:r w:rsidRPr="00C84773">
        <w:rPr>
          <w:rFonts w:cstheme="minorHAnsi"/>
        </w:rPr>
        <w:t xml:space="preserve">. </w:t>
      </w:r>
    </w:p>
    <w:p w14:paraId="03BC7814" w14:textId="61F7FFA3" w:rsidR="009E1BF4" w:rsidRPr="00C84773" w:rsidRDefault="005C5BE9" w:rsidP="004F6FC0">
      <w:pPr>
        <w:spacing w:after="120" w:line="276" w:lineRule="auto"/>
        <w:jc w:val="both"/>
        <w:rPr>
          <w:rFonts w:cstheme="minorHAnsi"/>
        </w:rPr>
      </w:pPr>
      <w:r w:rsidRPr="00C84773">
        <w:rPr>
          <w:rFonts w:cstheme="minorHAnsi"/>
        </w:rPr>
        <w:t>L</w:t>
      </w:r>
      <w:r w:rsidR="0004232A" w:rsidRPr="00C84773">
        <w:rPr>
          <w:rFonts w:cstheme="minorHAnsi"/>
        </w:rPr>
        <w:t xml:space="preserve">’accent est mis, </w:t>
      </w:r>
      <w:r w:rsidRPr="00C84773">
        <w:rPr>
          <w:rFonts w:cstheme="minorHAnsi"/>
        </w:rPr>
        <w:t>en outre</w:t>
      </w:r>
      <w:r w:rsidR="0004232A" w:rsidRPr="00C84773">
        <w:rPr>
          <w:rFonts w:cstheme="minorHAnsi"/>
        </w:rPr>
        <w:t>,</w:t>
      </w:r>
      <w:r w:rsidRPr="00C84773">
        <w:rPr>
          <w:rFonts w:cstheme="minorHAnsi"/>
        </w:rPr>
        <w:t xml:space="preserve"> sur les dangers de l'empoisonnement au plomb chez les enfants, </w:t>
      </w:r>
      <w:r w:rsidR="0004232A" w:rsidRPr="00C84773">
        <w:rPr>
          <w:rFonts w:cstheme="minorHAnsi"/>
        </w:rPr>
        <w:t xml:space="preserve">qui avaient déjà été </w:t>
      </w:r>
      <w:r w:rsidRPr="00C84773">
        <w:rPr>
          <w:rFonts w:cstheme="minorHAnsi"/>
        </w:rPr>
        <w:t>soulign</w:t>
      </w:r>
      <w:r w:rsidR="0004232A" w:rsidRPr="00C84773">
        <w:rPr>
          <w:rFonts w:cstheme="minorHAnsi"/>
        </w:rPr>
        <w:t>é</w:t>
      </w:r>
      <w:r w:rsidRPr="00C84773">
        <w:rPr>
          <w:rFonts w:cstheme="minorHAnsi"/>
        </w:rPr>
        <w:t xml:space="preserve"> </w:t>
      </w:r>
      <w:r w:rsidR="0004232A" w:rsidRPr="00C84773">
        <w:rPr>
          <w:rFonts w:cstheme="minorHAnsi"/>
        </w:rPr>
        <w:t>dans</w:t>
      </w:r>
      <w:r w:rsidRPr="00C84773">
        <w:rPr>
          <w:rFonts w:cstheme="minorHAnsi"/>
        </w:rPr>
        <w:t xml:space="preserve"> le rapport de l'UNICEF de 2020 sur le plomb</w:t>
      </w:r>
      <w:r w:rsidRPr="00C84773">
        <w:rPr>
          <w:rStyle w:val="FootnoteReference"/>
          <w:rFonts w:cstheme="minorHAnsi"/>
        </w:rPr>
        <w:footnoteReference w:id="3"/>
      </w:r>
      <w:r w:rsidR="00001389" w:rsidRPr="00C84773">
        <w:rPr>
          <w:rFonts w:cstheme="minorHAnsi"/>
        </w:rPr>
        <w:t xml:space="preserve">. </w:t>
      </w:r>
      <w:r w:rsidR="009E1BF4" w:rsidRPr="00C84773">
        <w:rPr>
          <w:rFonts w:cstheme="minorHAnsi"/>
        </w:rPr>
        <w:t>Ainsi, il a été estimé qu’environ 1 enfant sur 3 a une plombémie supérieure à 5 microgrammes par décilitre (μg/</w:t>
      </w:r>
      <w:proofErr w:type="spellStart"/>
      <w:r w:rsidR="009E1BF4" w:rsidRPr="00C84773">
        <w:rPr>
          <w:rFonts w:cstheme="minorHAnsi"/>
        </w:rPr>
        <w:t>dL</w:t>
      </w:r>
      <w:proofErr w:type="spellEnd"/>
      <w:r w:rsidR="009E1BF4" w:rsidRPr="00C84773">
        <w:rPr>
          <w:rFonts w:cstheme="minorHAnsi"/>
        </w:rPr>
        <w:t>),</w:t>
      </w:r>
      <w:r w:rsidR="009E1BF4" w:rsidRPr="00C84773">
        <w:rPr>
          <w:rStyle w:val="FootnoteReference"/>
          <w:rFonts w:cstheme="minorHAnsi"/>
        </w:rPr>
        <w:footnoteReference w:id="4"/>
      </w:r>
      <w:r w:rsidR="009E1BF4" w:rsidRPr="00C84773">
        <w:rPr>
          <w:rFonts w:cstheme="minorHAnsi"/>
        </w:rPr>
        <w:t xml:space="preserve"> la plupart des enfants touchés par le plomb vivant en Afrique et en Asie</w:t>
      </w:r>
      <w:r w:rsidR="00E71CF5" w:rsidRPr="00C84773">
        <w:rPr>
          <w:rFonts w:cstheme="minorHAnsi"/>
        </w:rPr>
        <w:t xml:space="preserve"> dont </w:t>
      </w:r>
      <w:r w:rsidR="009E1BF4" w:rsidRPr="00C84773">
        <w:rPr>
          <w:rFonts w:cstheme="minorHAnsi"/>
        </w:rPr>
        <w:t>1,9 million d'enfants au Maroc</w:t>
      </w:r>
      <w:r w:rsidR="00E71CF5" w:rsidRPr="00C84773">
        <w:rPr>
          <w:rFonts w:cstheme="minorHAnsi"/>
        </w:rPr>
        <w:t>.</w:t>
      </w:r>
      <w:r w:rsidR="009E1BF4" w:rsidRPr="00C84773">
        <w:rPr>
          <w:rFonts w:cstheme="minorHAnsi"/>
        </w:rPr>
        <w:t xml:space="preserve"> </w:t>
      </w:r>
      <w:r w:rsidR="007B0F27" w:rsidRPr="00C84773">
        <w:rPr>
          <w:rFonts w:cstheme="minorHAnsi"/>
        </w:rPr>
        <w:t xml:space="preserve">Les données sur la plombémie et les </w:t>
      </w:r>
      <w:r w:rsidR="009E1BF4" w:rsidRPr="00C84773">
        <w:rPr>
          <w:rFonts w:cstheme="minorHAnsi"/>
        </w:rPr>
        <w:t>sources d'exposition au plomb sont rares au Maroc</w:t>
      </w:r>
      <w:r w:rsidR="007B0F27" w:rsidRPr="00C84773">
        <w:rPr>
          <w:rFonts w:cstheme="minorHAnsi"/>
        </w:rPr>
        <w:t xml:space="preserve">. Il existe, néanmoins, </w:t>
      </w:r>
      <w:r w:rsidR="009E1BF4" w:rsidRPr="00C84773">
        <w:rPr>
          <w:rFonts w:cstheme="minorHAnsi"/>
        </w:rPr>
        <w:t xml:space="preserve">plusieurs </w:t>
      </w:r>
      <w:r w:rsidR="007B0F27" w:rsidRPr="00C84773">
        <w:rPr>
          <w:rFonts w:cstheme="minorHAnsi"/>
        </w:rPr>
        <w:t>réglementations sur</w:t>
      </w:r>
      <w:r w:rsidR="009E1BF4" w:rsidRPr="00C84773">
        <w:rPr>
          <w:rFonts w:cstheme="minorHAnsi"/>
        </w:rPr>
        <w:t xml:space="preserve"> les produits industriels </w:t>
      </w:r>
      <w:r w:rsidR="007B0F27" w:rsidRPr="00C84773">
        <w:rPr>
          <w:rFonts w:cstheme="minorHAnsi"/>
        </w:rPr>
        <w:t>pour réduire la pollution au plomb (i.e. carburants et peintures).</w:t>
      </w:r>
      <w:r w:rsidR="00E71CF5" w:rsidRPr="00C84773">
        <w:rPr>
          <w:rFonts w:cstheme="minorHAnsi"/>
        </w:rPr>
        <w:t xml:space="preserve"> </w:t>
      </w:r>
      <w:r w:rsidR="009E1BF4" w:rsidRPr="00C84773">
        <w:rPr>
          <w:rFonts w:cstheme="minorHAnsi"/>
        </w:rPr>
        <w:t>Reconnaissant l'importance de l'exposition et de l'empoisonnement au plomb, le gouvernement marocain a répondu positivement</w:t>
      </w:r>
      <w:r w:rsidR="00A40F3E" w:rsidRPr="00C84773">
        <w:rPr>
          <w:rFonts w:cstheme="minorHAnsi"/>
        </w:rPr>
        <w:t>,</w:t>
      </w:r>
      <w:r w:rsidR="009E1BF4" w:rsidRPr="00C84773">
        <w:rPr>
          <w:rFonts w:cstheme="minorHAnsi"/>
        </w:rPr>
        <w:t xml:space="preserve"> </w:t>
      </w:r>
      <w:r w:rsidR="007B0F27" w:rsidRPr="00C84773">
        <w:rPr>
          <w:rFonts w:cstheme="minorHAnsi"/>
        </w:rPr>
        <w:t>en août 2024</w:t>
      </w:r>
      <w:r w:rsidR="00A40F3E" w:rsidRPr="00C84773">
        <w:rPr>
          <w:rFonts w:cstheme="minorHAnsi"/>
        </w:rPr>
        <w:t>,</w:t>
      </w:r>
      <w:r w:rsidR="007B0F27" w:rsidRPr="00C84773">
        <w:rPr>
          <w:rFonts w:cstheme="minorHAnsi"/>
        </w:rPr>
        <w:t xml:space="preserve"> </w:t>
      </w:r>
      <w:r w:rsidR="009E1BF4" w:rsidRPr="00C84773">
        <w:rPr>
          <w:rFonts w:cstheme="minorHAnsi"/>
        </w:rPr>
        <w:t xml:space="preserve">à l'invitation de l'UNICEF et de l'USAID </w:t>
      </w:r>
      <w:r w:rsidR="00E71CF5" w:rsidRPr="00C84773">
        <w:rPr>
          <w:rFonts w:cstheme="minorHAnsi"/>
        </w:rPr>
        <w:t>pour</w:t>
      </w:r>
      <w:r w:rsidR="009E1BF4" w:rsidRPr="00C84773">
        <w:rPr>
          <w:rFonts w:cstheme="minorHAnsi"/>
        </w:rPr>
        <w:t xml:space="preserve"> rejoindre le </w:t>
      </w:r>
      <w:r w:rsidR="009D18BD" w:rsidRPr="00C84773">
        <w:rPr>
          <w:rFonts w:cstheme="minorHAnsi"/>
        </w:rPr>
        <w:t>p</w:t>
      </w:r>
      <w:r w:rsidR="009E1BF4" w:rsidRPr="00C84773">
        <w:rPr>
          <w:rFonts w:cstheme="minorHAnsi"/>
        </w:rPr>
        <w:t xml:space="preserve">artenariat </w:t>
      </w:r>
      <w:r w:rsidR="009D18BD" w:rsidRPr="00C84773">
        <w:rPr>
          <w:rFonts w:cstheme="minorHAnsi"/>
        </w:rPr>
        <w:t xml:space="preserve">mondial </w:t>
      </w:r>
      <w:r w:rsidR="009E1BF4" w:rsidRPr="00C84773">
        <w:rPr>
          <w:rFonts w:cstheme="minorHAnsi"/>
        </w:rPr>
        <w:t xml:space="preserve">pour </w:t>
      </w:r>
      <w:r w:rsidR="007B0F27" w:rsidRPr="00C84773">
        <w:rPr>
          <w:rFonts w:cstheme="minorHAnsi"/>
        </w:rPr>
        <w:t>« </w:t>
      </w:r>
      <w:r w:rsidR="009E1BF4" w:rsidRPr="00C84773">
        <w:rPr>
          <w:rFonts w:cstheme="minorHAnsi"/>
        </w:rPr>
        <w:t xml:space="preserve">un </w:t>
      </w:r>
      <w:r w:rsidR="009D18BD" w:rsidRPr="00C84773">
        <w:rPr>
          <w:rFonts w:cstheme="minorHAnsi"/>
        </w:rPr>
        <w:t>a</w:t>
      </w:r>
      <w:r w:rsidR="009E1BF4" w:rsidRPr="00C84773">
        <w:rPr>
          <w:rFonts w:cstheme="minorHAnsi"/>
        </w:rPr>
        <w:t xml:space="preserve">venir sans </w:t>
      </w:r>
      <w:r w:rsidR="009D18BD" w:rsidRPr="00C84773">
        <w:rPr>
          <w:rFonts w:cstheme="minorHAnsi"/>
        </w:rPr>
        <w:t>p</w:t>
      </w:r>
      <w:r w:rsidR="009E1BF4" w:rsidRPr="00C84773">
        <w:rPr>
          <w:rFonts w:cstheme="minorHAnsi"/>
        </w:rPr>
        <w:t>lomb</w:t>
      </w:r>
      <w:r w:rsidR="007B0F27" w:rsidRPr="00C84773">
        <w:rPr>
          <w:rFonts w:cstheme="minorHAnsi"/>
        </w:rPr>
        <w:t> »</w:t>
      </w:r>
      <w:r w:rsidR="009E1BF4" w:rsidRPr="00C84773">
        <w:rPr>
          <w:rFonts w:cstheme="minorHAnsi"/>
        </w:rPr>
        <w:t xml:space="preserve"> </w:t>
      </w:r>
      <w:r w:rsidR="009D18BD" w:rsidRPr="00C84773">
        <w:rPr>
          <w:rFonts w:cstheme="minorHAnsi"/>
        </w:rPr>
        <w:t>(</w:t>
      </w:r>
      <w:r w:rsidR="009D18BD" w:rsidRPr="00C84773">
        <w:rPr>
          <w:rFonts w:cstheme="minorHAnsi"/>
          <w:i/>
          <w:iCs/>
        </w:rPr>
        <w:t>Partnership for a Lead-Free Future ou PLF en anglais</w:t>
      </w:r>
      <w:r w:rsidR="009D18BD" w:rsidRPr="00C84773">
        <w:rPr>
          <w:rFonts w:cstheme="minorHAnsi"/>
        </w:rPr>
        <w:t>)</w:t>
      </w:r>
      <w:r w:rsidR="009E1BF4" w:rsidRPr="00C84773">
        <w:rPr>
          <w:rFonts w:cstheme="minorHAnsi"/>
        </w:rPr>
        <w:t xml:space="preserve">. </w:t>
      </w:r>
    </w:p>
    <w:p w14:paraId="61E88A98" w14:textId="4E234CDA" w:rsidR="005C5BE9" w:rsidRPr="00C84773" w:rsidRDefault="005C5BE9" w:rsidP="004F6FC0">
      <w:pPr>
        <w:spacing w:after="0" w:line="276" w:lineRule="auto"/>
        <w:jc w:val="both"/>
        <w:rPr>
          <w:rFonts w:cstheme="minorHAnsi"/>
        </w:rPr>
      </w:pPr>
      <w:r w:rsidRPr="00C84773">
        <w:rPr>
          <w:rFonts w:cstheme="minorHAnsi"/>
        </w:rPr>
        <w:t xml:space="preserve">Pour mettre en évidence l'effet des risques climatiques et environnementaux sur les enfants </w:t>
      </w:r>
      <w:r w:rsidR="009D18BD" w:rsidRPr="00C84773">
        <w:rPr>
          <w:rFonts w:cstheme="minorHAnsi"/>
        </w:rPr>
        <w:t xml:space="preserve">au Maroc, </w:t>
      </w:r>
      <w:r w:rsidRPr="00C84773">
        <w:rPr>
          <w:rFonts w:cstheme="minorHAnsi"/>
        </w:rPr>
        <w:t xml:space="preserve">il est </w:t>
      </w:r>
      <w:r w:rsidR="009D18BD" w:rsidRPr="00C84773">
        <w:rPr>
          <w:rFonts w:cstheme="minorHAnsi"/>
        </w:rPr>
        <w:t xml:space="preserve">donc </w:t>
      </w:r>
      <w:r w:rsidRPr="00C84773">
        <w:rPr>
          <w:rFonts w:cstheme="minorHAnsi"/>
        </w:rPr>
        <w:t xml:space="preserve">impératif de mener une </w:t>
      </w:r>
      <w:r w:rsidR="00E71CF5" w:rsidRPr="00C84773">
        <w:rPr>
          <w:rFonts w:cstheme="minorHAnsi"/>
        </w:rPr>
        <w:t>analyse</w:t>
      </w:r>
      <w:r w:rsidRPr="00C84773">
        <w:rPr>
          <w:rFonts w:cstheme="minorHAnsi"/>
        </w:rPr>
        <w:t xml:space="preserve"> </w:t>
      </w:r>
      <w:r w:rsidR="00186503" w:rsidRPr="00C84773">
        <w:rPr>
          <w:rFonts w:cstheme="minorHAnsi"/>
        </w:rPr>
        <w:t xml:space="preserve">nationale </w:t>
      </w:r>
      <w:r w:rsidR="009D18BD" w:rsidRPr="00C84773">
        <w:rPr>
          <w:rFonts w:cstheme="minorHAnsi"/>
        </w:rPr>
        <w:t xml:space="preserve">approfondie </w:t>
      </w:r>
      <w:r w:rsidRPr="00C84773">
        <w:rPr>
          <w:rFonts w:cstheme="minorHAnsi"/>
        </w:rPr>
        <w:t xml:space="preserve">de la </w:t>
      </w:r>
      <w:r w:rsidR="00BB7258" w:rsidRPr="00C84773">
        <w:rPr>
          <w:rFonts w:cstheme="minorHAnsi"/>
        </w:rPr>
        <w:t>S</w:t>
      </w:r>
      <w:r w:rsidRPr="00C84773">
        <w:rPr>
          <w:rFonts w:cstheme="minorHAnsi"/>
        </w:rPr>
        <w:t xml:space="preserve">anté </w:t>
      </w:r>
      <w:r w:rsidR="00BB7258" w:rsidRPr="00C84773">
        <w:rPr>
          <w:rFonts w:cstheme="minorHAnsi"/>
        </w:rPr>
        <w:t>E</w:t>
      </w:r>
      <w:r w:rsidRPr="00C84773">
        <w:rPr>
          <w:rFonts w:cstheme="minorHAnsi"/>
        </w:rPr>
        <w:t xml:space="preserve">nvironnementale des </w:t>
      </w:r>
      <w:r w:rsidR="00BB7258" w:rsidRPr="00C84773">
        <w:rPr>
          <w:rFonts w:cstheme="minorHAnsi"/>
        </w:rPr>
        <w:lastRenderedPageBreak/>
        <w:t>E</w:t>
      </w:r>
      <w:r w:rsidRPr="00C84773">
        <w:rPr>
          <w:rFonts w:cstheme="minorHAnsi"/>
        </w:rPr>
        <w:t>nfants</w:t>
      </w:r>
      <w:r w:rsidR="00BB7258" w:rsidRPr="00C84773">
        <w:rPr>
          <w:rFonts w:cstheme="minorHAnsi"/>
        </w:rPr>
        <w:t xml:space="preserve"> ou SEE</w:t>
      </w:r>
      <w:r w:rsidR="002C1608" w:rsidRPr="00C84773">
        <w:rPr>
          <w:rFonts w:cstheme="minorHAnsi"/>
        </w:rPr>
        <w:t xml:space="preserve"> (</w:t>
      </w:r>
      <w:r w:rsidR="002C1608" w:rsidRPr="00C84773">
        <w:rPr>
          <w:rFonts w:cstheme="minorHAnsi"/>
          <w:i/>
          <w:iCs/>
        </w:rPr>
        <w:t xml:space="preserve">Child </w:t>
      </w:r>
      <w:proofErr w:type="spellStart"/>
      <w:r w:rsidR="002C1608" w:rsidRPr="00C84773">
        <w:rPr>
          <w:rFonts w:cstheme="minorHAnsi"/>
          <w:i/>
          <w:iCs/>
        </w:rPr>
        <w:t>Environmental</w:t>
      </w:r>
      <w:proofErr w:type="spellEnd"/>
      <w:r w:rsidR="002C1608" w:rsidRPr="00C84773">
        <w:rPr>
          <w:rFonts w:cstheme="minorHAnsi"/>
          <w:i/>
          <w:iCs/>
        </w:rPr>
        <w:t xml:space="preserve"> </w:t>
      </w:r>
      <w:proofErr w:type="spellStart"/>
      <w:r w:rsidR="002C1608" w:rsidRPr="00C84773">
        <w:rPr>
          <w:rFonts w:cstheme="minorHAnsi"/>
          <w:i/>
          <w:iCs/>
        </w:rPr>
        <w:t>Health</w:t>
      </w:r>
      <w:proofErr w:type="spellEnd"/>
      <w:r w:rsidR="002C1608" w:rsidRPr="00C84773">
        <w:rPr>
          <w:rFonts w:cstheme="minorHAnsi"/>
          <w:i/>
          <w:iCs/>
        </w:rPr>
        <w:t xml:space="preserve"> ou CEH en anglais</w:t>
      </w:r>
      <w:r w:rsidR="002C1608" w:rsidRPr="00C84773">
        <w:rPr>
          <w:rFonts w:cstheme="minorHAnsi"/>
        </w:rPr>
        <w:t>)</w:t>
      </w:r>
      <w:r w:rsidRPr="00C84773">
        <w:rPr>
          <w:rFonts w:cstheme="minorHAnsi"/>
        </w:rPr>
        <w:t>. Ce</w:t>
      </w:r>
      <w:r w:rsidR="009D18BD" w:rsidRPr="00C84773">
        <w:rPr>
          <w:rFonts w:cstheme="minorHAnsi"/>
        </w:rPr>
        <w:t>tte étude</w:t>
      </w:r>
      <w:r w:rsidRPr="00C84773">
        <w:rPr>
          <w:rFonts w:cstheme="minorHAnsi"/>
        </w:rPr>
        <w:t xml:space="preserve"> </w:t>
      </w:r>
      <w:r w:rsidR="009D18BD" w:rsidRPr="00C84773">
        <w:rPr>
          <w:rFonts w:cstheme="minorHAnsi"/>
        </w:rPr>
        <w:t xml:space="preserve">permettra, d’une part, </w:t>
      </w:r>
      <w:r w:rsidR="00E71CF5" w:rsidRPr="00C84773">
        <w:rPr>
          <w:rFonts w:cstheme="minorHAnsi"/>
        </w:rPr>
        <w:t xml:space="preserve">un état des lieux </w:t>
      </w:r>
      <w:r w:rsidR="009D18BD" w:rsidRPr="00C84773">
        <w:rPr>
          <w:rFonts w:cstheme="minorHAnsi"/>
        </w:rPr>
        <w:t>en termes d’exp</w:t>
      </w:r>
      <w:r w:rsidRPr="00C84773">
        <w:rPr>
          <w:rFonts w:cstheme="minorHAnsi"/>
        </w:rPr>
        <w:t>osition aux dangers</w:t>
      </w:r>
      <w:r w:rsidR="009D18BD" w:rsidRPr="00C84773">
        <w:rPr>
          <w:rFonts w:cstheme="minorHAnsi"/>
        </w:rPr>
        <w:t xml:space="preserve"> environnementaux</w:t>
      </w:r>
      <w:r w:rsidRPr="00C84773">
        <w:rPr>
          <w:rFonts w:cstheme="minorHAnsi"/>
        </w:rPr>
        <w:t xml:space="preserve"> et </w:t>
      </w:r>
      <w:r w:rsidR="00E71CF5" w:rsidRPr="00C84773">
        <w:rPr>
          <w:rFonts w:cstheme="minorHAnsi"/>
        </w:rPr>
        <w:t xml:space="preserve">climatiques et </w:t>
      </w:r>
      <w:r w:rsidR="009D18BD" w:rsidRPr="00C84773">
        <w:rPr>
          <w:rFonts w:cstheme="minorHAnsi"/>
        </w:rPr>
        <w:t>le</w:t>
      </w:r>
      <w:r w:rsidRPr="00C84773">
        <w:rPr>
          <w:rFonts w:cstheme="minorHAnsi"/>
        </w:rPr>
        <w:t xml:space="preserve"> </w:t>
      </w:r>
      <w:r w:rsidR="009D18BD" w:rsidRPr="00C84773">
        <w:rPr>
          <w:rFonts w:cstheme="minorHAnsi"/>
        </w:rPr>
        <w:t>poids des</w:t>
      </w:r>
      <w:r w:rsidRPr="00C84773">
        <w:rPr>
          <w:rFonts w:cstheme="minorHAnsi"/>
        </w:rPr>
        <w:t xml:space="preserve"> </w:t>
      </w:r>
      <w:r w:rsidR="009D18BD" w:rsidRPr="00C84773">
        <w:rPr>
          <w:rFonts w:cstheme="minorHAnsi"/>
        </w:rPr>
        <w:t>morbidités</w:t>
      </w:r>
      <w:r w:rsidRPr="00C84773">
        <w:rPr>
          <w:rFonts w:cstheme="minorHAnsi"/>
        </w:rPr>
        <w:t xml:space="preserve"> associées</w:t>
      </w:r>
      <w:r w:rsidR="009D18BD" w:rsidRPr="00C84773">
        <w:rPr>
          <w:rFonts w:cstheme="minorHAnsi"/>
        </w:rPr>
        <w:t xml:space="preserve"> et, d’autre part, l’identification d</w:t>
      </w:r>
      <w:r w:rsidRPr="00C84773">
        <w:rPr>
          <w:rFonts w:cstheme="minorHAnsi"/>
        </w:rPr>
        <w:t xml:space="preserve">es problèmes </w:t>
      </w:r>
      <w:r w:rsidR="009D18BD" w:rsidRPr="00C84773">
        <w:rPr>
          <w:rFonts w:cstheme="minorHAnsi"/>
        </w:rPr>
        <w:t xml:space="preserve">devant être </w:t>
      </w:r>
      <w:r w:rsidRPr="00C84773">
        <w:rPr>
          <w:rFonts w:cstheme="minorHAnsi"/>
        </w:rPr>
        <w:t>traités en priorité par le gouvernement</w:t>
      </w:r>
      <w:r w:rsidR="009D18BD" w:rsidRPr="00C84773">
        <w:rPr>
          <w:rFonts w:cstheme="minorHAnsi"/>
        </w:rPr>
        <w:t xml:space="preserve"> avec </w:t>
      </w:r>
      <w:r w:rsidR="00D6707E" w:rsidRPr="00C84773">
        <w:rPr>
          <w:rFonts w:cstheme="minorHAnsi"/>
        </w:rPr>
        <w:t>l’appui d</w:t>
      </w:r>
      <w:r w:rsidR="009D18BD" w:rsidRPr="00C84773">
        <w:rPr>
          <w:rFonts w:cstheme="minorHAnsi"/>
        </w:rPr>
        <w:t xml:space="preserve">es </w:t>
      </w:r>
      <w:r w:rsidRPr="00C84773">
        <w:rPr>
          <w:rFonts w:cstheme="minorHAnsi"/>
        </w:rPr>
        <w:t xml:space="preserve">partenaires </w:t>
      </w:r>
      <w:r w:rsidR="009D18BD" w:rsidRPr="00C84773">
        <w:rPr>
          <w:rFonts w:cstheme="minorHAnsi"/>
        </w:rPr>
        <w:t>techniques et financiers</w:t>
      </w:r>
      <w:r w:rsidRPr="00C84773">
        <w:rPr>
          <w:rFonts w:cstheme="minorHAnsi"/>
        </w:rPr>
        <w:t xml:space="preserve">. </w:t>
      </w:r>
      <w:r w:rsidR="006C1FCE" w:rsidRPr="00C84773">
        <w:rPr>
          <w:rFonts w:cstheme="minorHAnsi"/>
        </w:rPr>
        <w:t>Cette étude</w:t>
      </w:r>
      <w:r w:rsidR="00FF7509" w:rsidRPr="00C84773">
        <w:rPr>
          <w:rFonts w:cstheme="minorHAnsi"/>
        </w:rPr>
        <w:t xml:space="preserve"> viendra en complément de l’analyse </w:t>
      </w:r>
      <w:r w:rsidR="008C399B" w:rsidRPr="00C84773">
        <w:rPr>
          <w:rFonts w:cstheme="minorHAnsi"/>
        </w:rPr>
        <w:t xml:space="preserve">nationale </w:t>
      </w:r>
      <w:r w:rsidR="00FF7509" w:rsidRPr="00C84773">
        <w:rPr>
          <w:rFonts w:cstheme="minorHAnsi"/>
        </w:rPr>
        <w:t xml:space="preserve">du </w:t>
      </w:r>
      <w:r w:rsidR="006C1FCE" w:rsidRPr="00C84773">
        <w:rPr>
          <w:rFonts w:cstheme="minorHAnsi"/>
        </w:rPr>
        <w:t>« </w:t>
      </w:r>
      <w:r w:rsidR="00FF7509" w:rsidRPr="00C84773">
        <w:rPr>
          <w:rFonts w:cstheme="minorHAnsi"/>
        </w:rPr>
        <w:t>paysage climatique pour les enfants</w:t>
      </w:r>
      <w:r w:rsidR="006C1FCE" w:rsidRPr="00C84773">
        <w:rPr>
          <w:rFonts w:cstheme="minorHAnsi"/>
        </w:rPr>
        <w:t> »</w:t>
      </w:r>
      <w:r w:rsidR="002C1608" w:rsidRPr="00C84773">
        <w:rPr>
          <w:rStyle w:val="FootnoteReference"/>
          <w:rFonts w:cstheme="minorHAnsi"/>
        </w:rPr>
        <w:footnoteReference w:id="5"/>
      </w:r>
      <w:r w:rsidR="006C1FCE" w:rsidRPr="00C84773">
        <w:rPr>
          <w:rFonts w:cstheme="minorHAnsi"/>
        </w:rPr>
        <w:t xml:space="preserve"> </w:t>
      </w:r>
      <w:r w:rsidR="002C1608" w:rsidRPr="00C84773">
        <w:rPr>
          <w:rFonts w:cstheme="minorHAnsi"/>
        </w:rPr>
        <w:t>(</w:t>
      </w:r>
      <w:proofErr w:type="spellStart"/>
      <w:r w:rsidR="002C1608" w:rsidRPr="00C84773">
        <w:rPr>
          <w:rFonts w:cstheme="minorHAnsi"/>
          <w:i/>
          <w:iCs/>
        </w:rPr>
        <w:t>Climate</w:t>
      </w:r>
      <w:proofErr w:type="spellEnd"/>
      <w:r w:rsidR="002C1608" w:rsidRPr="00C84773">
        <w:rPr>
          <w:rFonts w:cstheme="minorHAnsi"/>
          <w:i/>
          <w:iCs/>
        </w:rPr>
        <w:t xml:space="preserve"> </w:t>
      </w:r>
      <w:proofErr w:type="spellStart"/>
      <w:r w:rsidR="002C1608" w:rsidRPr="00C84773">
        <w:rPr>
          <w:rFonts w:cstheme="minorHAnsi"/>
          <w:i/>
          <w:iCs/>
        </w:rPr>
        <w:t>Landscape</w:t>
      </w:r>
      <w:proofErr w:type="spellEnd"/>
      <w:r w:rsidR="002C1608" w:rsidRPr="00C84773">
        <w:rPr>
          <w:rFonts w:cstheme="minorHAnsi"/>
          <w:i/>
          <w:iCs/>
        </w:rPr>
        <w:t xml:space="preserve"> </w:t>
      </w:r>
      <w:proofErr w:type="spellStart"/>
      <w:r w:rsidR="002C1608" w:rsidRPr="00C84773">
        <w:rPr>
          <w:rFonts w:cstheme="minorHAnsi"/>
          <w:i/>
          <w:iCs/>
        </w:rPr>
        <w:t>Analysis</w:t>
      </w:r>
      <w:proofErr w:type="spellEnd"/>
      <w:r w:rsidR="002C1608" w:rsidRPr="00C84773">
        <w:rPr>
          <w:rFonts w:cstheme="minorHAnsi"/>
          <w:i/>
          <w:iCs/>
        </w:rPr>
        <w:t xml:space="preserve"> for </w:t>
      </w:r>
      <w:proofErr w:type="spellStart"/>
      <w:r w:rsidR="002C1608" w:rsidRPr="00C84773">
        <w:rPr>
          <w:rFonts w:cstheme="minorHAnsi"/>
          <w:i/>
          <w:iCs/>
        </w:rPr>
        <w:t>Children</w:t>
      </w:r>
      <w:proofErr w:type="spellEnd"/>
      <w:r w:rsidR="002C1608" w:rsidRPr="00C84773">
        <w:rPr>
          <w:rFonts w:cstheme="minorHAnsi"/>
          <w:i/>
          <w:iCs/>
        </w:rPr>
        <w:t xml:space="preserve"> ou CLAC en anglais</w:t>
      </w:r>
      <w:r w:rsidR="002C1608" w:rsidRPr="00C84773">
        <w:rPr>
          <w:rFonts w:cstheme="minorHAnsi"/>
        </w:rPr>
        <w:t xml:space="preserve">) </w:t>
      </w:r>
      <w:r w:rsidR="00FF7509" w:rsidRPr="00C84773">
        <w:rPr>
          <w:rFonts w:cstheme="minorHAnsi"/>
        </w:rPr>
        <w:t>déjà effectué</w:t>
      </w:r>
      <w:r w:rsidR="008C399B" w:rsidRPr="00C84773">
        <w:rPr>
          <w:rFonts w:cstheme="minorHAnsi"/>
        </w:rPr>
        <w:t>e</w:t>
      </w:r>
      <w:r w:rsidR="00FF7509" w:rsidRPr="00C84773">
        <w:rPr>
          <w:rFonts w:cstheme="minorHAnsi"/>
        </w:rPr>
        <w:t xml:space="preserve"> </w:t>
      </w:r>
      <w:r w:rsidR="00A40F3E" w:rsidRPr="00C84773">
        <w:rPr>
          <w:rFonts w:cstheme="minorHAnsi"/>
        </w:rPr>
        <w:t xml:space="preserve">au Maroc </w:t>
      </w:r>
      <w:r w:rsidR="008C399B" w:rsidRPr="00C84773">
        <w:rPr>
          <w:rFonts w:cstheme="minorHAnsi"/>
        </w:rPr>
        <w:t xml:space="preserve">en 2023/24 </w:t>
      </w:r>
      <w:r w:rsidR="00FF7509" w:rsidRPr="00C84773">
        <w:rPr>
          <w:rFonts w:cstheme="minorHAnsi"/>
        </w:rPr>
        <w:t>avec l’appui de l’UNICEF.</w:t>
      </w:r>
    </w:p>
    <w:p w14:paraId="488F7D2F" w14:textId="77777777" w:rsidR="00AC45A4" w:rsidRPr="00C84773" w:rsidRDefault="00AC45A4" w:rsidP="004F6FC0">
      <w:pPr>
        <w:spacing w:after="0" w:line="276" w:lineRule="auto"/>
        <w:jc w:val="both"/>
        <w:rPr>
          <w:rFonts w:cstheme="minorHAnsi"/>
        </w:rPr>
      </w:pPr>
    </w:p>
    <w:p w14:paraId="3E9CF37E" w14:textId="77777777" w:rsidR="000066ED" w:rsidRPr="00C84773" w:rsidRDefault="000066ED" w:rsidP="004F6FC0">
      <w:pPr>
        <w:shd w:val="clear" w:color="auto" w:fill="9CC2E5"/>
        <w:spacing w:line="276" w:lineRule="auto"/>
        <w:jc w:val="both"/>
        <w:rPr>
          <w:rFonts w:eastAsia="Times New Roman" w:cstheme="minorHAnsi"/>
          <w:b/>
          <w:bCs/>
          <w:lang w:eastAsia="fr-FR"/>
        </w:rPr>
      </w:pPr>
      <w:r w:rsidRPr="00C84773">
        <w:rPr>
          <w:rFonts w:eastAsia="Times New Roman" w:cstheme="minorHAnsi"/>
          <w:b/>
          <w:bCs/>
          <w:lang w:eastAsia="fr-FR"/>
        </w:rPr>
        <w:t>2. Objectifs</w:t>
      </w:r>
    </w:p>
    <w:p w14:paraId="2E7AE0B0" w14:textId="3AAD7A64" w:rsidR="001276E3" w:rsidRPr="00C84773" w:rsidRDefault="005E4169" w:rsidP="005F6DC7">
      <w:pPr>
        <w:autoSpaceDE w:val="0"/>
        <w:autoSpaceDN w:val="0"/>
        <w:adjustRightInd w:val="0"/>
        <w:spacing w:after="0" w:line="276" w:lineRule="auto"/>
        <w:jc w:val="both"/>
        <w:rPr>
          <w:rFonts w:cstheme="minorHAnsi"/>
        </w:rPr>
      </w:pPr>
      <w:r w:rsidRPr="00C84773">
        <w:rPr>
          <w:rFonts w:cstheme="minorHAnsi"/>
        </w:rPr>
        <w:t>L'objectif de cette consultation est d'a</w:t>
      </w:r>
      <w:r w:rsidR="002864B8" w:rsidRPr="00C84773">
        <w:rPr>
          <w:rFonts w:cstheme="minorHAnsi"/>
        </w:rPr>
        <w:t>ppuyer</w:t>
      </w:r>
      <w:r w:rsidRPr="00C84773">
        <w:rPr>
          <w:rFonts w:cstheme="minorHAnsi"/>
        </w:rPr>
        <w:t xml:space="preserve"> le gouvernement du Maroc</w:t>
      </w:r>
      <w:r w:rsidRPr="00C84773">
        <w:rPr>
          <w:rFonts w:cstheme="minorHAnsi"/>
          <w:color w:val="FF0000"/>
        </w:rPr>
        <w:t xml:space="preserve"> </w:t>
      </w:r>
      <w:r w:rsidRPr="00C84773">
        <w:rPr>
          <w:rFonts w:cstheme="minorHAnsi"/>
        </w:rPr>
        <w:t>à identifier les priorités en matière de politique de santé environnementale en réalis</w:t>
      </w:r>
      <w:r w:rsidR="002864B8" w:rsidRPr="00C84773">
        <w:rPr>
          <w:rFonts w:cstheme="minorHAnsi"/>
        </w:rPr>
        <w:t>ant</w:t>
      </w:r>
      <w:r w:rsidRPr="00C84773">
        <w:rPr>
          <w:rFonts w:cstheme="minorHAnsi"/>
        </w:rPr>
        <w:t xml:space="preserve"> une </w:t>
      </w:r>
      <w:r w:rsidR="000D0AE0" w:rsidRPr="00C84773">
        <w:rPr>
          <w:rFonts w:cstheme="minorHAnsi"/>
        </w:rPr>
        <w:t>analyse</w:t>
      </w:r>
      <w:r w:rsidRPr="00C84773">
        <w:rPr>
          <w:rFonts w:cstheme="minorHAnsi"/>
        </w:rPr>
        <w:t xml:space="preserve"> approfondie des </w:t>
      </w:r>
      <w:r w:rsidR="00651BAA" w:rsidRPr="00C84773">
        <w:rPr>
          <w:rFonts w:cstheme="minorHAnsi"/>
        </w:rPr>
        <w:t xml:space="preserve">dangers et des </w:t>
      </w:r>
      <w:r w:rsidRPr="00C84773">
        <w:rPr>
          <w:rFonts w:cstheme="minorHAnsi"/>
        </w:rPr>
        <w:t xml:space="preserve">risques </w:t>
      </w:r>
      <w:r w:rsidR="005F6DC7" w:rsidRPr="00C84773">
        <w:rPr>
          <w:rFonts w:cstheme="minorHAnsi"/>
        </w:rPr>
        <w:t xml:space="preserve">climatiques et </w:t>
      </w:r>
      <w:r w:rsidRPr="00C84773">
        <w:rPr>
          <w:rFonts w:cstheme="minorHAnsi"/>
        </w:rPr>
        <w:t>environnementaux</w:t>
      </w:r>
      <w:r w:rsidR="00651BAA" w:rsidRPr="00C84773">
        <w:rPr>
          <w:rFonts w:cstheme="minorHAnsi"/>
        </w:rPr>
        <w:t>, notamment l’exposition au plomb,</w:t>
      </w:r>
      <w:r w:rsidRPr="00C84773">
        <w:rPr>
          <w:rFonts w:cstheme="minorHAnsi"/>
        </w:rPr>
        <w:t xml:space="preserve"> </w:t>
      </w:r>
      <w:r w:rsidR="000D0AE0" w:rsidRPr="00C84773">
        <w:rPr>
          <w:rFonts w:cstheme="minorHAnsi"/>
        </w:rPr>
        <w:t xml:space="preserve">ainsi que </w:t>
      </w:r>
      <w:r w:rsidRPr="00C84773">
        <w:rPr>
          <w:rFonts w:cstheme="minorHAnsi"/>
        </w:rPr>
        <w:t>leur impact sur l</w:t>
      </w:r>
      <w:r w:rsidR="002C1608" w:rsidRPr="00C84773">
        <w:rPr>
          <w:rFonts w:cstheme="minorHAnsi"/>
        </w:rPr>
        <w:t>a santé d</w:t>
      </w:r>
      <w:r w:rsidRPr="00C84773">
        <w:rPr>
          <w:rFonts w:cstheme="minorHAnsi"/>
        </w:rPr>
        <w:t xml:space="preserve">es enfants au Maroc. </w:t>
      </w:r>
    </w:p>
    <w:p w14:paraId="6332792B" w14:textId="77777777" w:rsidR="005F6DC7" w:rsidRPr="00C84773" w:rsidRDefault="005F6DC7" w:rsidP="005F6DC7">
      <w:pPr>
        <w:autoSpaceDE w:val="0"/>
        <w:autoSpaceDN w:val="0"/>
        <w:adjustRightInd w:val="0"/>
        <w:spacing w:after="0" w:line="276" w:lineRule="auto"/>
        <w:jc w:val="both"/>
        <w:rPr>
          <w:rFonts w:cstheme="minorHAnsi"/>
        </w:rPr>
      </w:pPr>
    </w:p>
    <w:p w14:paraId="5ABFE5A4" w14:textId="3F736239" w:rsidR="005E4169" w:rsidRPr="00C84773" w:rsidRDefault="005E4169" w:rsidP="004F6FC0">
      <w:pPr>
        <w:shd w:val="clear" w:color="auto" w:fill="9CC2E5"/>
        <w:spacing w:line="276" w:lineRule="auto"/>
        <w:jc w:val="both"/>
        <w:rPr>
          <w:rFonts w:eastAsia="Times New Roman" w:cstheme="minorHAnsi"/>
          <w:b/>
          <w:bCs/>
          <w:lang w:eastAsia="fr-FR"/>
        </w:rPr>
      </w:pPr>
      <w:r w:rsidRPr="00C84773">
        <w:rPr>
          <w:rFonts w:eastAsia="Times New Roman" w:cstheme="minorHAnsi"/>
          <w:b/>
          <w:bCs/>
          <w:lang w:eastAsia="fr-FR"/>
        </w:rPr>
        <w:t xml:space="preserve">3. </w:t>
      </w:r>
      <w:r w:rsidR="005A7D17" w:rsidRPr="00C84773">
        <w:rPr>
          <w:rFonts w:eastAsia="Times New Roman" w:cstheme="minorHAnsi"/>
          <w:b/>
          <w:bCs/>
          <w:lang w:eastAsia="fr-FR"/>
        </w:rPr>
        <w:t xml:space="preserve">Portée de l’analyse </w:t>
      </w:r>
    </w:p>
    <w:p w14:paraId="6141A6F6" w14:textId="3C26BDBD" w:rsidR="007C6044" w:rsidRPr="00C84773" w:rsidRDefault="007C6044" w:rsidP="001A1538">
      <w:pPr>
        <w:spacing w:after="120" w:line="276" w:lineRule="auto"/>
        <w:jc w:val="both"/>
        <w:rPr>
          <w:rFonts w:cstheme="minorHAnsi"/>
        </w:rPr>
      </w:pPr>
      <w:r w:rsidRPr="00C84773">
        <w:rPr>
          <w:rFonts w:cstheme="minorHAnsi"/>
        </w:rPr>
        <w:t>Il s’agira de faire un examen des études existantes dans le pays</w:t>
      </w:r>
      <w:r w:rsidR="007D3AF3" w:rsidRPr="00C84773">
        <w:rPr>
          <w:rFonts w:cstheme="minorHAnsi"/>
        </w:rPr>
        <w:t xml:space="preserve"> et de la littérature internationale pertinente</w:t>
      </w:r>
      <w:r w:rsidR="001A1538" w:rsidRPr="00C84773">
        <w:rPr>
          <w:rFonts w:cstheme="minorHAnsi"/>
        </w:rPr>
        <w:t>,</w:t>
      </w:r>
      <w:r w:rsidRPr="00C84773">
        <w:rPr>
          <w:rFonts w:cstheme="minorHAnsi"/>
        </w:rPr>
        <w:t xml:space="preserve"> de mener des consultations avec les parties prenantes dans la thématique étudiée, et de présenter les résultats préliminaires de l’analyse lors d’un atelier consultatif pour leur validation et ajustements si nécessaire dans la version finale du rapport.</w:t>
      </w:r>
    </w:p>
    <w:p w14:paraId="4F224F91" w14:textId="1D8D13F9" w:rsidR="00470844" w:rsidRPr="00C84773" w:rsidRDefault="00470844" w:rsidP="001A1538">
      <w:pPr>
        <w:widowControl w:val="0"/>
        <w:tabs>
          <w:tab w:val="left" w:pos="837"/>
        </w:tabs>
        <w:autoSpaceDE w:val="0"/>
        <w:autoSpaceDN w:val="0"/>
        <w:spacing w:before="17" w:after="0" w:line="276" w:lineRule="auto"/>
        <w:jc w:val="both"/>
        <w:rPr>
          <w:rFonts w:cstheme="minorHAnsi"/>
        </w:rPr>
      </w:pPr>
      <w:r w:rsidRPr="00C84773">
        <w:rPr>
          <w:rFonts w:cstheme="minorHAnsi"/>
        </w:rPr>
        <w:t>Le/la consultant</w:t>
      </w:r>
      <w:r w:rsidR="005A7D17" w:rsidRPr="00C84773">
        <w:rPr>
          <w:rFonts w:cstheme="minorHAnsi"/>
        </w:rPr>
        <w:t>/</w:t>
      </w:r>
      <w:r w:rsidRPr="00C84773">
        <w:rPr>
          <w:rFonts w:cstheme="minorHAnsi"/>
        </w:rPr>
        <w:t xml:space="preserve">e suivra la note </w:t>
      </w:r>
      <w:r w:rsidR="005A7D17" w:rsidRPr="00C84773">
        <w:rPr>
          <w:rFonts w:cstheme="minorHAnsi"/>
        </w:rPr>
        <w:t>technique</w:t>
      </w:r>
      <w:r w:rsidRPr="00C84773">
        <w:rPr>
          <w:rFonts w:cstheme="minorHAnsi"/>
        </w:rPr>
        <w:t xml:space="preserve"> de</w:t>
      </w:r>
      <w:r w:rsidRPr="00C84773">
        <w:rPr>
          <w:rFonts w:cstheme="minorHAnsi"/>
          <w:spacing w:val="1"/>
        </w:rPr>
        <w:t xml:space="preserve"> </w:t>
      </w:r>
      <w:r w:rsidRPr="00C84773">
        <w:rPr>
          <w:rFonts w:cstheme="minorHAnsi"/>
        </w:rPr>
        <w:t xml:space="preserve">l’UNICEF sur </w:t>
      </w:r>
      <w:r w:rsidR="005A7D17" w:rsidRPr="00C84773">
        <w:rPr>
          <w:rFonts w:cstheme="minorHAnsi"/>
        </w:rPr>
        <w:t>« les évaluations de la santé environnementale des enfants »</w:t>
      </w:r>
      <w:r w:rsidR="001A1538" w:rsidRPr="00C84773">
        <w:rPr>
          <w:rStyle w:val="FootnoteReference"/>
          <w:rFonts w:cstheme="minorHAnsi"/>
        </w:rPr>
        <w:footnoteReference w:id="6"/>
      </w:r>
      <w:r w:rsidR="005A7D17" w:rsidRPr="00C84773">
        <w:rPr>
          <w:rFonts w:cstheme="minorHAnsi"/>
        </w:rPr>
        <w:t xml:space="preserve"> </w:t>
      </w:r>
      <w:r w:rsidR="007D3AF3" w:rsidRPr="00C84773">
        <w:rPr>
          <w:rFonts w:cstheme="minorHAnsi"/>
        </w:rPr>
        <w:t xml:space="preserve">et ses annexes, </w:t>
      </w:r>
      <w:r w:rsidR="005A7D17" w:rsidRPr="00C84773">
        <w:rPr>
          <w:rFonts w:cstheme="minorHAnsi"/>
        </w:rPr>
        <w:t>qui donne</w:t>
      </w:r>
      <w:r w:rsidR="007D3AF3" w:rsidRPr="00C84773">
        <w:rPr>
          <w:rFonts w:cstheme="minorHAnsi"/>
        </w:rPr>
        <w:t>nt</w:t>
      </w:r>
      <w:r w:rsidR="005A7D17" w:rsidRPr="00C84773">
        <w:rPr>
          <w:rFonts w:cstheme="minorHAnsi"/>
        </w:rPr>
        <w:t xml:space="preserve"> les détails sur la conduite à tenir</w:t>
      </w:r>
      <w:r w:rsidR="007D3AF3" w:rsidRPr="00C84773">
        <w:rPr>
          <w:rFonts w:cstheme="minorHAnsi"/>
        </w:rPr>
        <w:t xml:space="preserve"> dans ce type d’étude ainsi que les sources de données et d’informations à analyser</w:t>
      </w:r>
      <w:r w:rsidR="005A7D17" w:rsidRPr="00C84773">
        <w:rPr>
          <w:rFonts w:cstheme="minorHAnsi"/>
        </w:rPr>
        <w:t>.</w:t>
      </w:r>
      <w:r w:rsidRPr="00C84773">
        <w:rPr>
          <w:rFonts w:cstheme="minorHAnsi"/>
        </w:rPr>
        <w:t xml:space="preserve"> </w:t>
      </w:r>
      <w:r w:rsidR="0061435A" w:rsidRPr="00C84773">
        <w:rPr>
          <w:rFonts w:cstheme="minorHAnsi"/>
        </w:rPr>
        <w:t>Si besoin, d</w:t>
      </w:r>
      <w:r w:rsidRPr="00C84773">
        <w:rPr>
          <w:rFonts w:cstheme="minorHAnsi"/>
        </w:rPr>
        <w:t>es</w:t>
      </w:r>
      <w:r w:rsidRPr="00C84773">
        <w:rPr>
          <w:rFonts w:cstheme="minorHAnsi"/>
          <w:spacing w:val="1"/>
        </w:rPr>
        <w:t xml:space="preserve"> </w:t>
      </w:r>
      <w:r w:rsidRPr="00C84773">
        <w:rPr>
          <w:rFonts w:cstheme="minorHAnsi"/>
        </w:rPr>
        <w:t xml:space="preserve">analyses et des recherches supplémentaires </w:t>
      </w:r>
      <w:r w:rsidR="0061435A" w:rsidRPr="00C84773">
        <w:rPr>
          <w:rFonts w:cstheme="minorHAnsi"/>
        </w:rPr>
        <w:t xml:space="preserve">pourront être </w:t>
      </w:r>
      <w:r w:rsidRPr="00C84773">
        <w:rPr>
          <w:rFonts w:cstheme="minorHAnsi"/>
        </w:rPr>
        <w:t xml:space="preserve">menées pour </w:t>
      </w:r>
      <w:r w:rsidR="0061435A" w:rsidRPr="00C84773">
        <w:rPr>
          <w:rFonts w:cstheme="minorHAnsi"/>
        </w:rPr>
        <w:t>répondre à des</w:t>
      </w:r>
      <w:r w:rsidRPr="00C84773">
        <w:rPr>
          <w:rFonts w:cstheme="minorHAnsi"/>
        </w:rPr>
        <w:t xml:space="preserve"> questions précises et</w:t>
      </w:r>
      <w:r w:rsidR="0061435A" w:rsidRPr="00C84773">
        <w:rPr>
          <w:rFonts w:cstheme="minorHAnsi"/>
        </w:rPr>
        <w:t xml:space="preserve"> </w:t>
      </w:r>
      <w:r w:rsidRPr="00C84773">
        <w:rPr>
          <w:rFonts w:cstheme="minorHAnsi"/>
        </w:rPr>
        <w:t>combler les lacunes</w:t>
      </w:r>
      <w:r w:rsidR="001A1538" w:rsidRPr="00C84773">
        <w:rPr>
          <w:rFonts w:cstheme="minorHAnsi"/>
        </w:rPr>
        <w:t xml:space="preserve"> éventuelles</w:t>
      </w:r>
      <w:r w:rsidRPr="00C84773">
        <w:rPr>
          <w:rFonts w:cstheme="minorHAnsi"/>
        </w:rPr>
        <w:t>.</w:t>
      </w:r>
      <w:r w:rsidR="0061435A" w:rsidRPr="00C84773">
        <w:rPr>
          <w:rFonts w:cstheme="minorHAnsi"/>
        </w:rPr>
        <w:t xml:space="preserve"> </w:t>
      </w:r>
    </w:p>
    <w:p w14:paraId="20E75D14" w14:textId="77777777" w:rsidR="001A1538" w:rsidRPr="00C84773" w:rsidRDefault="001A1538" w:rsidP="001A1538">
      <w:pPr>
        <w:spacing w:after="0" w:line="240" w:lineRule="auto"/>
        <w:jc w:val="both"/>
        <w:rPr>
          <w:rFonts w:cstheme="minorHAnsi"/>
        </w:rPr>
      </w:pPr>
    </w:p>
    <w:p w14:paraId="7750E813" w14:textId="75DAE9F1" w:rsidR="005A7D17" w:rsidRPr="00C84773" w:rsidRDefault="001A1538" w:rsidP="001A1538">
      <w:pPr>
        <w:spacing w:after="120" w:line="240" w:lineRule="auto"/>
        <w:jc w:val="both"/>
        <w:rPr>
          <w:rFonts w:cstheme="minorHAnsi"/>
        </w:rPr>
      </w:pPr>
      <w:r w:rsidRPr="00C84773">
        <w:rPr>
          <w:rFonts w:cstheme="minorHAnsi"/>
        </w:rPr>
        <w:t xml:space="preserve">L’analyse de la santé environnementale de l’enfant devra couvrir les </w:t>
      </w:r>
      <w:r w:rsidR="00F87717" w:rsidRPr="00C84773">
        <w:rPr>
          <w:rFonts w:cstheme="minorHAnsi"/>
        </w:rPr>
        <w:t>éléments</w:t>
      </w:r>
      <w:r w:rsidRPr="00C84773">
        <w:rPr>
          <w:rFonts w:cstheme="minorHAnsi"/>
        </w:rPr>
        <w:t xml:space="preserve"> suivants : </w:t>
      </w:r>
    </w:p>
    <w:p w14:paraId="49F7A7DD" w14:textId="2D39F740" w:rsidR="00D27DD0" w:rsidRPr="00C84773" w:rsidRDefault="00D27DD0" w:rsidP="001A1538">
      <w:pPr>
        <w:pStyle w:val="ListParagraph"/>
        <w:numPr>
          <w:ilvl w:val="0"/>
          <w:numId w:val="27"/>
        </w:numPr>
        <w:spacing w:after="120" w:line="276" w:lineRule="auto"/>
        <w:contextualSpacing w:val="0"/>
        <w:jc w:val="both"/>
        <w:rPr>
          <w:rFonts w:cstheme="minorHAnsi"/>
        </w:rPr>
      </w:pPr>
      <w:r w:rsidRPr="00C84773">
        <w:rPr>
          <w:rFonts w:cstheme="minorHAnsi"/>
          <w:b/>
          <w:bCs/>
        </w:rPr>
        <w:t xml:space="preserve">Analyse des systèmes de santé du pays </w:t>
      </w:r>
      <w:r w:rsidRPr="00C84773">
        <w:rPr>
          <w:rFonts w:cstheme="minorHAnsi"/>
        </w:rPr>
        <w:t xml:space="preserve">: Il s'agit notamment des principales causes de morbidité et de mortalité chez les enfants, des capacités sectorielles pertinentes, des politiques existantes et des lacunes dans les cadres nationaux, des outils et des technologies de surveillance, des infrastructures de santé, du budget de la santé et des dépenses nécessaires pour traiter de manière adéquate les risques climatiques et environnementaux. Il peut également s'agir d'un résumé des programmes </w:t>
      </w:r>
      <w:r w:rsidR="00DB4B75" w:rsidRPr="00C84773">
        <w:rPr>
          <w:rFonts w:cstheme="minorHAnsi"/>
        </w:rPr>
        <w:t>« Santé Environnementale des Enfants »</w:t>
      </w:r>
      <w:r w:rsidRPr="00C84773">
        <w:rPr>
          <w:rFonts w:cstheme="minorHAnsi"/>
        </w:rPr>
        <w:t xml:space="preserve"> existants dans le pays</w:t>
      </w:r>
      <w:r w:rsidR="00DB4B75" w:rsidRPr="00C84773">
        <w:rPr>
          <w:rFonts w:cstheme="minorHAnsi"/>
        </w:rPr>
        <w:t>.</w:t>
      </w:r>
    </w:p>
    <w:p w14:paraId="3CEFA6CC" w14:textId="2C4E1EFC" w:rsidR="00D27DD0" w:rsidRPr="00C84773" w:rsidRDefault="00D27DD0" w:rsidP="001A1538">
      <w:pPr>
        <w:pStyle w:val="ListParagraph"/>
        <w:numPr>
          <w:ilvl w:val="0"/>
          <w:numId w:val="27"/>
        </w:numPr>
        <w:spacing w:after="120" w:line="276" w:lineRule="auto"/>
        <w:contextualSpacing w:val="0"/>
        <w:jc w:val="both"/>
        <w:rPr>
          <w:rFonts w:cstheme="minorHAnsi"/>
        </w:rPr>
      </w:pPr>
      <w:r w:rsidRPr="00C84773">
        <w:rPr>
          <w:rFonts w:cstheme="minorHAnsi"/>
          <w:b/>
          <w:bCs/>
        </w:rPr>
        <w:t xml:space="preserve">Exposition des enfants aux dangers environnementaux et climatiques : </w:t>
      </w:r>
      <w:r w:rsidRPr="00C84773">
        <w:rPr>
          <w:rFonts w:cstheme="minorHAnsi"/>
        </w:rPr>
        <w:t>Il s'agi</w:t>
      </w:r>
      <w:r w:rsidR="007C6044" w:rsidRPr="00C84773">
        <w:rPr>
          <w:rFonts w:cstheme="minorHAnsi"/>
        </w:rPr>
        <w:t>t</w:t>
      </w:r>
      <w:r w:rsidRPr="00C84773">
        <w:rPr>
          <w:rFonts w:cstheme="minorHAnsi"/>
        </w:rPr>
        <w:t xml:space="preserve"> notamment d'</w:t>
      </w:r>
      <w:r w:rsidR="007C6044" w:rsidRPr="00C84773">
        <w:rPr>
          <w:rFonts w:cstheme="minorHAnsi"/>
        </w:rPr>
        <w:t>analyser</w:t>
      </w:r>
      <w:r w:rsidRPr="00C84773">
        <w:rPr>
          <w:rFonts w:cstheme="minorHAnsi"/>
        </w:rPr>
        <w:t xml:space="preserve"> les effets sur la santé des enfants d'une série de dangers environnementaux (métaux lourds, produits chimiques toxiques, déchets dangereux, </w:t>
      </w:r>
      <w:r w:rsidR="005F6DC7" w:rsidRPr="00C84773">
        <w:rPr>
          <w:rFonts w:cstheme="minorHAnsi"/>
        </w:rPr>
        <w:t xml:space="preserve">et </w:t>
      </w:r>
      <w:r w:rsidRPr="00C84773">
        <w:rPr>
          <w:rFonts w:cstheme="minorHAnsi"/>
        </w:rPr>
        <w:t xml:space="preserve">autres dangers environnementaux), climatiques (inondations excessives, stress thermique, sécheresse, évolution des maladies à transmission vectorielle) et une combinaison des deux (pollution de l'air). </w:t>
      </w:r>
    </w:p>
    <w:p w14:paraId="50DEADF6" w14:textId="44173AED" w:rsidR="00D27DD0" w:rsidRPr="00C84773" w:rsidRDefault="00D27DD0" w:rsidP="001A1538">
      <w:pPr>
        <w:pStyle w:val="ListParagraph"/>
        <w:numPr>
          <w:ilvl w:val="0"/>
          <w:numId w:val="27"/>
        </w:numPr>
        <w:spacing w:after="120" w:line="276" w:lineRule="auto"/>
        <w:contextualSpacing w:val="0"/>
        <w:jc w:val="both"/>
        <w:rPr>
          <w:rFonts w:cstheme="minorHAnsi"/>
        </w:rPr>
      </w:pPr>
      <w:r w:rsidRPr="00C84773">
        <w:rPr>
          <w:rFonts w:cstheme="minorHAnsi"/>
          <w:b/>
          <w:bCs/>
        </w:rPr>
        <w:t xml:space="preserve">Cartographie des parties prenantes et des partenaires dans le domaine de la santé environnementale et climatique : </w:t>
      </w:r>
      <w:r w:rsidRPr="00C84773">
        <w:rPr>
          <w:rFonts w:cstheme="minorHAnsi"/>
        </w:rPr>
        <w:t xml:space="preserve">cela inclut </w:t>
      </w:r>
      <w:r w:rsidR="00046316" w:rsidRPr="00C84773">
        <w:rPr>
          <w:rFonts w:cstheme="minorHAnsi"/>
        </w:rPr>
        <w:t>un large éventail de</w:t>
      </w:r>
      <w:r w:rsidRPr="00C84773">
        <w:rPr>
          <w:rFonts w:cstheme="minorHAnsi"/>
        </w:rPr>
        <w:t xml:space="preserve"> partenaires</w:t>
      </w:r>
      <w:r w:rsidR="00046316" w:rsidRPr="00C84773">
        <w:rPr>
          <w:rFonts w:cstheme="minorHAnsi"/>
        </w:rPr>
        <w:t>,</w:t>
      </w:r>
      <w:r w:rsidRPr="00C84773">
        <w:rPr>
          <w:rFonts w:cstheme="minorHAnsi"/>
        </w:rPr>
        <w:t xml:space="preserve"> allant du </w:t>
      </w:r>
      <w:r w:rsidR="007C6044" w:rsidRPr="00C84773">
        <w:rPr>
          <w:rFonts w:cstheme="minorHAnsi"/>
        </w:rPr>
        <w:t xml:space="preserve">secteur </w:t>
      </w:r>
      <w:r w:rsidRPr="00C84773">
        <w:rPr>
          <w:rFonts w:cstheme="minorHAnsi"/>
        </w:rPr>
        <w:t>public au privé</w:t>
      </w:r>
      <w:r w:rsidR="00046316" w:rsidRPr="00C84773">
        <w:rPr>
          <w:rFonts w:cstheme="minorHAnsi"/>
        </w:rPr>
        <w:t xml:space="preserve">, ayant de près ou de loin un lien avec la thématique (institutions gouvernementales, société civile, académie etc.). </w:t>
      </w:r>
      <w:r w:rsidRPr="00C84773">
        <w:rPr>
          <w:rFonts w:cstheme="minorHAnsi"/>
        </w:rPr>
        <w:t xml:space="preserve"> </w:t>
      </w:r>
    </w:p>
    <w:p w14:paraId="09C485A5" w14:textId="7687767E" w:rsidR="00D27DD0" w:rsidRPr="00C84773" w:rsidRDefault="00D27DD0" w:rsidP="001A1538">
      <w:pPr>
        <w:pStyle w:val="ListParagraph"/>
        <w:numPr>
          <w:ilvl w:val="0"/>
          <w:numId w:val="27"/>
        </w:numPr>
        <w:spacing w:after="120" w:line="276" w:lineRule="auto"/>
        <w:contextualSpacing w:val="0"/>
        <w:jc w:val="both"/>
        <w:rPr>
          <w:rFonts w:cstheme="minorHAnsi"/>
        </w:rPr>
      </w:pPr>
      <w:r w:rsidRPr="00C84773">
        <w:rPr>
          <w:rFonts w:cstheme="minorHAnsi"/>
          <w:b/>
          <w:bCs/>
        </w:rPr>
        <w:lastRenderedPageBreak/>
        <w:t>Gouvernance environnementale nationale et mondiale</w:t>
      </w:r>
      <w:r w:rsidR="00771C55" w:rsidRPr="00C84773">
        <w:rPr>
          <w:rFonts w:cstheme="minorHAnsi"/>
          <w:b/>
          <w:bCs/>
        </w:rPr>
        <w:t xml:space="preserve"> : </w:t>
      </w:r>
      <w:r w:rsidR="00771C55" w:rsidRPr="00C84773">
        <w:rPr>
          <w:rFonts w:cstheme="minorHAnsi"/>
        </w:rPr>
        <w:t>il s’agit des cadres de gouvernance, législations, réglementations climatiques et environnementales dans le pays et à l’international.</w:t>
      </w:r>
    </w:p>
    <w:p w14:paraId="662EEC95" w14:textId="46026ABC" w:rsidR="001A1538" w:rsidRPr="00C84773" w:rsidRDefault="00D27DD0" w:rsidP="001A1538">
      <w:pPr>
        <w:pStyle w:val="ListParagraph"/>
        <w:numPr>
          <w:ilvl w:val="0"/>
          <w:numId w:val="27"/>
        </w:numPr>
        <w:spacing w:after="0" w:line="276" w:lineRule="auto"/>
        <w:contextualSpacing w:val="0"/>
        <w:jc w:val="both"/>
        <w:rPr>
          <w:rFonts w:cstheme="minorHAnsi"/>
        </w:rPr>
      </w:pPr>
      <w:r w:rsidRPr="00C84773">
        <w:rPr>
          <w:rFonts w:cstheme="minorHAnsi"/>
          <w:b/>
          <w:bCs/>
        </w:rPr>
        <w:t xml:space="preserve">Analyse visant à hiérarchiser les sujets clés </w:t>
      </w:r>
      <w:r w:rsidR="007C6044" w:rsidRPr="00C84773">
        <w:rPr>
          <w:rFonts w:cstheme="minorHAnsi"/>
          <w:b/>
          <w:bCs/>
        </w:rPr>
        <w:t xml:space="preserve">en matière de SEE </w:t>
      </w:r>
      <w:r w:rsidRPr="00C84773">
        <w:rPr>
          <w:rFonts w:cstheme="minorHAnsi"/>
          <w:b/>
          <w:bCs/>
        </w:rPr>
        <w:t xml:space="preserve">dans le pays sur la base de la </w:t>
      </w:r>
      <w:r w:rsidR="007C6044" w:rsidRPr="00C84773">
        <w:rPr>
          <w:rFonts w:cstheme="minorHAnsi"/>
          <w:b/>
          <w:bCs/>
        </w:rPr>
        <w:t xml:space="preserve">revue documentaire </w:t>
      </w:r>
      <w:r w:rsidRPr="00C84773">
        <w:rPr>
          <w:rFonts w:cstheme="minorHAnsi"/>
          <w:b/>
          <w:bCs/>
        </w:rPr>
        <w:t>et des consultations</w:t>
      </w:r>
    </w:p>
    <w:p w14:paraId="662CB693" w14:textId="77777777" w:rsidR="001A1538" w:rsidRPr="00C84773" w:rsidRDefault="001A1538" w:rsidP="001A1538">
      <w:pPr>
        <w:spacing w:after="0" w:line="276" w:lineRule="auto"/>
        <w:jc w:val="both"/>
        <w:rPr>
          <w:rFonts w:cstheme="minorHAnsi"/>
        </w:rPr>
      </w:pPr>
    </w:p>
    <w:p w14:paraId="7B0D27F9" w14:textId="267980D0" w:rsidR="005A7D17" w:rsidRPr="00C84773" w:rsidRDefault="00F55C76" w:rsidP="00F55C76">
      <w:pPr>
        <w:pStyle w:val="ListParagraph"/>
        <w:shd w:val="clear" w:color="auto" w:fill="9CC2E5"/>
        <w:spacing w:after="0" w:line="276" w:lineRule="auto"/>
        <w:ind w:left="0"/>
        <w:jc w:val="both"/>
        <w:rPr>
          <w:rFonts w:eastAsia="Times New Roman" w:cstheme="minorHAnsi"/>
          <w:b/>
          <w:bCs/>
          <w:lang w:eastAsia="fr-FR"/>
        </w:rPr>
      </w:pPr>
      <w:r w:rsidRPr="00C84773">
        <w:rPr>
          <w:rFonts w:eastAsia="Times New Roman" w:cstheme="minorHAnsi"/>
          <w:b/>
          <w:bCs/>
          <w:lang w:eastAsia="fr-FR"/>
        </w:rPr>
        <w:t xml:space="preserve">4. </w:t>
      </w:r>
      <w:r w:rsidR="00F34BB9" w:rsidRPr="00C84773">
        <w:rPr>
          <w:rFonts w:eastAsia="Times New Roman" w:cstheme="minorHAnsi"/>
          <w:b/>
          <w:bCs/>
          <w:lang w:eastAsia="fr-FR"/>
        </w:rPr>
        <w:t>Tâches</w:t>
      </w:r>
    </w:p>
    <w:p w14:paraId="6AFFDA9F" w14:textId="46A5B10D" w:rsidR="00F34BB9" w:rsidRPr="00C84773" w:rsidRDefault="00F34BB9" w:rsidP="00F34BB9">
      <w:pPr>
        <w:spacing w:after="120" w:line="276" w:lineRule="auto"/>
        <w:jc w:val="both"/>
        <w:rPr>
          <w:rFonts w:cstheme="minorHAnsi"/>
        </w:rPr>
      </w:pPr>
      <w:r w:rsidRPr="00C84773">
        <w:rPr>
          <w:rFonts w:cstheme="minorHAnsi"/>
        </w:rPr>
        <w:t>Le/la consultant/e devra effectuer les tâches suivantes :</w:t>
      </w:r>
    </w:p>
    <w:p w14:paraId="7A864C7C" w14:textId="4AA13B93" w:rsidR="00F34BB9" w:rsidRPr="00C84773" w:rsidRDefault="00F87717" w:rsidP="00F87717">
      <w:pPr>
        <w:widowControl w:val="0"/>
        <w:autoSpaceDE w:val="0"/>
        <w:autoSpaceDN w:val="0"/>
        <w:adjustRightInd w:val="0"/>
        <w:spacing w:after="120" w:line="276" w:lineRule="auto"/>
        <w:jc w:val="both"/>
        <w:rPr>
          <w:rFonts w:cstheme="minorHAnsi"/>
          <w:b/>
          <w:bCs/>
        </w:rPr>
      </w:pPr>
      <w:r w:rsidRPr="00C84773">
        <w:rPr>
          <w:rFonts w:cstheme="minorHAnsi"/>
        </w:rPr>
        <w:t xml:space="preserve">1. </w:t>
      </w:r>
      <w:r w:rsidR="00F34BB9" w:rsidRPr="00C84773">
        <w:rPr>
          <w:rFonts w:cstheme="minorHAnsi"/>
        </w:rPr>
        <w:t xml:space="preserve">Préparer une note méthodologique détaillée incluant </w:t>
      </w:r>
      <w:r w:rsidRPr="00C84773">
        <w:rPr>
          <w:rFonts w:eastAsia="Times New Roman" w:cstheme="minorHAnsi"/>
          <w:lang w:eastAsia="fr-FR"/>
        </w:rPr>
        <w:t xml:space="preserve">une justification claire du choix de l’approche méthodologique, ses forces et ses limites à répondre aux objectifs et à la portée de la consultance, </w:t>
      </w:r>
      <w:r w:rsidR="00442DB4" w:rsidRPr="00C84773">
        <w:rPr>
          <w:rFonts w:eastAsia="Times New Roman" w:cstheme="minorHAnsi"/>
          <w:lang w:eastAsia="fr-FR"/>
        </w:rPr>
        <w:t>ainsi qu’un</w:t>
      </w:r>
      <w:r w:rsidRPr="00C84773">
        <w:rPr>
          <w:rFonts w:eastAsia="Times New Roman" w:cstheme="minorHAnsi"/>
          <w:lang w:eastAsia="fr-FR"/>
        </w:rPr>
        <w:t xml:space="preserve"> échéancier.</w:t>
      </w:r>
    </w:p>
    <w:p w14:paraId="19B9BB9C" w14:textId="774D661F" w:rsidR="00F34BB9" w:rsidRPr="00C84773" w:rsidRDefault="00F34BB9" w:rsidP="00F34BB9">
      <w:pPr>
        <w:spacing w:after="0" w:line="276" w:lineRule="auto"/>
        <w:jc w:val="both"/>
        <w:rPr>
          <w:rFonts w:cstheme="minorHAnsi"/>
        </w:rPr>
      </w:pPr>
      <w:r w:rsidRPr="00C84773">
        <w:rPr>
          <w:rFonts w:cstheme="minorHAnsi"/>
        </w:rPr>
        <w:t xml:space="preserve">2a. Faire une revue documentaire qui portera sur </w:t>
      </w:r>
      <w:r w:rsidR="00F87717" w:rsidRPr="00C84773">
        <w:rPr>
          <w:rFonts w:cstheme="minorHAnsi"/>
        </w:rPr>
        <w:t>l’analyse de</w:t>
      </w:r>
      <w:r w:rsidRPr="00C84773">
        <w:rPr>
          <w:rFonts w:cstheme="minorHAnsi"/>
        </w:rPr>
        <w:t xml:space="preserve">s documents de travail, rapports, </w:t>
      </w:r>
      <w:proofErr w:type="gramStart"/>
      <w:r w:rsidRPr="00C84773">
        <w:rPr>
          <w:rFonts w:cstheme="minorHAnsi"/>
        </w:rPr>
        <w:t>études,</w:t>
      </w:r>
      <w:r w:rsidRPr="00C84773">
        <w:rPr>
          <w:rFonts w:cstheme="minorHAnsi"/>
          <w:spacing w:val="-47"/>
        </w:rPr>
        <w:t xml:space="preserve">  </w:t>
      </w:r>
      <w:r w:rsidRPr="00C84773">
        <w:rPr>
          <w:rFonts w:cstheme="minorHAnsi"/>
        </w:rPr>
        <w:t>recherches</w:t>
      </w:r>
      <w:proofErr w:type="gramEnd"/>
      <w:r w:rsidRPr="00C84773">
        <w:rPr>
          <w:rFonts w:cstheme="minorHAnsi"/>
        </w:rPr>
        <w:t>, réglementations et autres cadres juridiques au Maroc. Elle</w:t>
      </w:r>
      <w:r w:rsidRPr="00C84773">
        <w:rPr>
          <w:rFonts w:cstheme="minorHAnsi"/>
          <w:spacing w:val="1"/>
        </w:rPr>
        <w:t xml:space="preserve"> </w:t>
      </w:r>
      <w:r w:rsidRPr="00C84773">
        <w:rPr>
          <w:rFonts w:cstheme="minorHAnsi"/>
        </w:rPr>
        <w:t>inclura également des rapports globaux et régionaux tels que référencés dans la note technique.</w:t>
      </w:r>
    </w:p>
    <w:p w14:paraId="527469D8" w14:textId="77777777" w:rsidR="00F34BB9" w:rsidRPr="00C84773" w:rsidRDefault="00F34BB9" w:rsidP="00F34BB9">
      <w:pPr>
        <w:spacing w:after="0" w:line="276" w:lineRule="auto"/>
        <w:jc w:val="both"/>
        <w:rPr>
          <w:rFonts w:cstheme="minorHAnsi"/>
        </w:rPr>
      </w:pPr>
    </w:p>
    <w:p w14:paraId="25A8421B" w14:textId="171BD92F" w:rsidR="00F34BB9" w:rsidRPr="00C84773" w:rsidRDefault="00F34BB9" w:rsidP="00F34BB9">
      <w:pPr>
        <w:spacing w:after="0" w:line="276" w:lineRule="auto"/>
        <w:jc w:val="both"/>
        <w:rPr>
          <w:rFonts w:cstheme="minorHAnsi"/>
        </w:rPr>
      </w:pPr>
      <w:r w:rsidRPr="00C84773">
        <w:rPr>
          <w:rFonts w:cstheme="minorHAnsi"/>
        </w:rPr>
        <w:t xml:space="preserve">2b. Mener des entretiens </w:t>
      </w:r>
      <w:r w:rsidRPr="00C84773">
        <w:rPr>
          <w:rFonts w:cstheme="minorHAnsi"/>
          <w:spacing w:val="1"/>
        </w:rPr>
        <w:t xml:space="preserve">en présentiel ou en distanciel </w:t>
      </w:r>
      <w:r w:rsidRPr="00C84773">
        <w:rPr>
          <w:rFonts w:cstheme="minorHAnsi"/>
        </w:rPr>
        <w:t>avec les principales parties prenantes au niveau national i.e. les institutions gouvernementales et internationales, les acteurs de la société civile, les secteurs privé et universitaire. Ces acteurs de la SEE seront préalablement identifiés et agrées avec l’UNICEF avant la conduite des entretiens.</w:t>
      </w:r>
    </w:p>
    <w:p w14:paraId="7A07803A" w14:textId="77777777" w:rsidR="00F34BB9" w:rsidRPr="00C84773" w:rsidRDefault="00F34BB9" w:rsidP="001A1538">
      <w:pPr>
        <w:spacing w:after="0" w:line="276" w:lineRule="auto"/>
        <w:jc w:val="both"/>
        <w:rPr>
          <w:rFonts w:cstheme="minorHAnsi"/>
        </w:rPr>
      </w:pPr>
    </w:p>
    <w:p w14:paraId="0F2B2930" w14:textId="260CCA70" w:rsidR="00F34BB9" w:rsidRPr="00C84773" w:rsidRDefault="00F87717" w:rsidP="00F34BB9">
      <w:pPr>
        <w:spacing w:after="0" w:line="276" w:lineRule="auto"/>
        <w:jc w:val="both"/>
        <w:rPr>
          <w:rFonts w:cstheme="minorHAnsi"/>
        </w:rPr>
      </w:pPr>
      <w:r w:rsidRPr="00C84773">
        <w:rPr>
          <w:rFonts w:cstheme="minorHAnsi"/>
        </w:rPr>
        <w:t>2c. Consolider les résultats de la revue documentaire et des consultations dans un rapport préliminaire selon le format indiqué dans le paragraphe précédent</w:t>
      </w:r>
      <w:r w:rsidR="00F34BB9" w:rsidRPr="00C84773">
        <w:rPr>
          <w:rFonts w:cstheme="minorHAnsi"/>
        </w:rPr>
        <w:t xml:space="preserve">. </w:t>
      </w:r>
    </w:p>
    <w:p w14:paraId="4DCA9EFA" w14:textId="77777777" w:rsidR="00F87717" w:rsidRPr="00C84773" w:rsidRDefault="00F87717" w:rsidP="001A1538">
      <w:pPr>
        <w:spacing w:after="0" w:line="276" w:lineRule="auto"/>
        <w:jc w:val="both"/>
        <w:rPr>
          <w:rFonts w:cstheme="minorHAnsi"/>
        </w:rPr>
      </w:pPr>
    </w:p>
    <w:p w14:paraId="4843FD5D" w14:textId="183D1E34" w:rsidR="00F87717" w:rsidRPr="00C84773" w:rsidRDefault="00F87717" w:rsidP="00F87717">
      <w:pPr>
        <w:widowControl w:val="0"/>
        <w:tabs>
          <w:tab w:val="left" w:pos="837"/>
        </w:tabs>
        <w:autoSpaceDE w:val="0"/>
        <w:autoSpaceDN w:val="0"/>
        <w:spacing w:before="17" w:after="0" w:line="276" w:lineRule="auto"/>
        <w:jc w:val="both"/>
        <w:rPr>
          <w:rFonts w:cstheme="minorHAnsi"/>
        </w:rPr>
      </w:pPr>
      <w:r w:rsidRPr="00C84773">
        <w:rPr>
          <w:rFonts w:cstheme="minorHAnsi"/>
        </w:rPr>
        <w:t>3. Animer un atelier de revue et de validation du rapport préliminaire avec préparation d’une présentation Powerpoint incluant la méthodologie utilisée et une synthèse des résultats préliminaires pour partage avec les parties prenantes. Les détails logistiques et administratifs de l’atelier seront gérés directement par l’UNICEF.</w:t>
      </w:r>
    </w:p>
    <w:p w14:paraId="5EBF2783" w14:textId="77777777" w:rsidR="00F87717" w:rsidRPr="00C84773" w:rsidRDefault="00F87717" w:rsidP="001A1538">
      <w:pPr>
        <w:spacing w:after="0" w:line="276" w:lineRule="auto"/>
        <w:jc w:val="both"/>
        <w:rPr>
          <w:rFonts w:cstheme="minorHAnsi"/>
        </w:rPr>
      </w:pPr>
    </w:p>
    <w:p w14:paraId="2D94C61A" w14:textId="1D03A4F5" w:rsidR="00F34BB9" w:rsidRPr="00C84773" w:rsidRDefault="00F87717" w:rsidP="001A1538">
      <w:pPr>
        <w:spacing w:after="0" w:line="276" w:lineRule="auto"/>
        <w:jc w:val="both"/>
        <w:rPr>
          <w:rFonts w:cstheme="minorHAnsi"/>
        </w:rPr>
      </w:pPr>
      <w:r w:rsidRPr="00C84773">
        <w:rPr>
          <w:rFonts w:cstheme="minorHAnsi"/>
        </w:rPr>
        <w:t xml:space="preserve">4. Finaliser le rapport de l’analyse de la santé environnementale </w:t>
      </w:r>
      <w:r w:rsidR="003135CD" w:rsidRPr="00C84773">
        <w:rPr>
          <w:rFonts w:cstheme="minorHAnsi"/>
        </w:rPr>
        <w:t xml:space="preserve">au Maroc </w:t>
      </w:r>
      <w:r w:rsidRPr="00C84773">
        <w:rPr>
          <w:rFonts w:cstheme="minorHAnsi"/>
        </w:rPr>
        <w:t>à la lumière des discussions et recommandations validés lors de l’atelier de partage.</w:t>
      </w:r>
    </w:p>
    <w:p w14:paraId="438ADD76" w14:textId="77777777" w:rsidR="00F34BB9" w:rsidRPr="00C84773" w:rsidRDefault="00F34BB9" w:rsidP="001A1538">
      <w:pPr>
        <w:spacing w:after="0" w:line="276" w:lineRule="auto"/>
        <w:jc w:val="both"/>
        <w:rPr>
          <w:rFonts w:cstheme="minorHAnsi"/>
        </w:rPr>
      </w:pPr>
    </w:p>
    <w:p w14:paraId="4C610568" w14:textId="30D7C9E4" w:rsidR="000066ED" w:rsidRPr="00C84773" w:rsidRDefault="00F55C76" w:rsidP="001A1538">
      <w:pPr>
        <w:shd w:val="clear" w:color="auto" w:fill="9CC2E5"/>
        <w:spacing w:after="0" w:line="276" w:lineRule="auto"/>
        <w:jc w:val="both"/>
        <w:rPr>
          <w:rFonts w:eastAsia="Times New Roman" w:cstheme="minorHAnsi"/>
          <w:b/>
          <w:bCs/>
          <w:lang w:eastAsia="fr-FR"/>
        </w:rPr>
      </w:pPr>
      <w:r w:rsidRPr="00C84773">
        <w:rPr>
          <w:rFonts w:eastAsia="Times New Roman" w:cstheme="minorHAnsi"/>
          <w:b/>
          <w:bCs/>
          <w:lang w:eastAsia="fr-FR"/>
        </w:rPr>
        <w:t>5</w:t>
      </w:r>
      <w:r w:rsidR="000066ED" w:rsidRPr="00C84773">
        <w:rPr>
          <w:rFonts w:eastAsia="Times New Roman" w:cstheme="minorHAnsi"/>
          <w:b/>
          <w:bCs/>
          <w:lang w:eastAsia="fr-FR"/>
        </w:rPr>
        <w:t>. Livrables</w:t>
      </w:r>
    </w:p>
    <w:p w14:paraId="41193AA0" w14:textId="0D8CC111" w:rsidR="000066ED" w:rsidRPr="00C84773" w:rsidRDefault="003A0BD6" w:rsidP="004F6FC0">
      <w:pPr>
        <w:autoSpaceDE w:val="0"/>
        <w:autoSpaceDN w:val="0"/>
        <w:adjustRightInd w:val="0"/>
        <w:spacing w:after="120" w:line="276" w:lineRule="auto"/>
        <w:jc w:val="both"/>
        <w:rPr>
          <w:rFonts w:cstheme="minorHAnsi"/>
        </w:rPr>
      </w:pPr>
      <w:r w:rsidRPr="00C84773">
        <w:rPr>
          <w:rFonts w:cstheme="minorHAnsi"/>
        </w:rPr>
        <w:t>L</w:t>
      </w:r>
      <w:r w:rsidR="00D27DD0" w:rsidRPr="00C84773">
        <w:rPr>
          <w:rFonts w:cstheme="minorHAnsi"/>
        </w:rPr>
        <w:t>e/l</w:t>
      </w:r>
      <w:r w:rsidRPr="00C84773">
        <w:rPr>
          <w:rFonts w:cstheme="minorHAnsi"/>
        </w:rPr>
        <w:t>a consultant</w:t>
      </w:r>
      <w:r w:rsidR="00D27DD0" w:rsidRPr="00C84773">
        <w:rPr>
          <w:rFonts w:cstheme="minorHAnsi"/>
        </w:rPr>
        <w:t>/</w:t>
      </w:r>
      <w:r w:rsidRPr="00C84773">
        <w:rPr>
          <w:rFonts w:cstheme="minorHAnsi"/>
        </w:rPr>
        <w:t>e devra soumettre l</w:t>
      </w:r>
      <w:r w:rsidR="00C86BCD" w:rsidRPr="00C84773">
        <w:rPr>
          <w:rFonts w:cstheme="minorHAnsi"/>
        </w:rPr>
        <w:t xml:space="preserve">es livrables suivants </w:t>
      </w:r>
      <w:r w:rsidR="000066ED" w:rsidRPr="00C84773">
        <w:rPr>
          <w:rFonts w:cstheme="minorHAnsi"/>
        </w:rPr>
        <w:t>à l’UNICEF</w:t>
      </w:r>
      <w:r w:rsidRPr="00C84773">
        <w:rPr>
          <w:rFonts w:cstheme="minorHAnsi"/>
        </w:rPr>
        <w:t>.</w:t>
      </w:r>
      <w:r w:rsidR="00A859BD" w:rsidRPr="00C84773">
        <w:rPr>
          <w:rFonts w:cstheme="minorHAnsi"/>
        </w:rPr>
        <w:t> :</w:t>
      </w:r>
    </w:p>
    <w:p w14:paraId="72249810" w14:textId="64353072" w:rsidR="00CE507D" w:rsidRPr="00C84773" w:rsidRDefault="00A859BD" w:rsidP="004F6FC0">
      <w:pPr>
        <w:widowControl w:val="0"/>
        <w:autoSpaceDE w:val="0"/>
        <w:autoSpaceDN w:val="0"/>
        <w:adjustRightInd w:val="0"/>
        <w:spacing w:after="120" w:line="276" w:lineRule="auto"/>
        <w:jc w:val="both"/>
        <w:rPr>
          <w:rFonts w:cstheme="minorHAnsi"/>
          <w:b/>
          <w:bCs/>
        </w:rPr>
      </w:pPr>
      <w:r w:rsidRPr="00C84773">
        <w:rPr>
          <w:rFonts w:cstheme="minorHAnsi"/>
          <w:b/>
          <w:bCs/>
        </w:rPr>
        <w:t>Livrable 1 :</w:t>
      </w:r>
      <w:r w:rsidRPr="00C84773">
        <w:rPr>
          <w:rFonts w:cstheme="minorHAnsi"/>
        </w:rPr>
        <w:t xml:space="preserve"> </w:t>
      </w:r>
      <w:r w:rsidR="00651BAA" w:rsidRPr="00C84773">
        <w:rPr>
          <w:rFonts w:cstheme="minorHAnsi"/>
        </w:rPr>
        <w:t>Note détaillée</w:t>
      </w:r>
      <w:r w:rsidR="00CE507D" w:rsidRPr="00C84773">
        <w:rPr>
          <w:rFonts w:cstheme="minorHAnsi"/>
        </w:rPr>
        <w:t xml:space="preserve">, de 10 pages maximum, détaillant la méthodologie adoptée pour conduire la consultation et atteindre les résultats escomptés tels que définis dans les termes de référence. </w:t>
      </w:r>
    </w:p>
    <w:p w14:paraId="289AF1C1" w14:textId="09719182" w:rsidR="00A859BD" w:rsidRPr="00C84773" w:rsidRDefault="00A859BD" w:rsidP="004F6FC0">
      <w:pPr>
        <w:autoSpaceDE w:val="0"/>
        <w:autoSpaceDN w:val="0"/>
        <w:adjustRightInd w:val="0"/>
        <w:spacing w:after="120" w:line="276" w:lineRule="auto"/>
        <w:jc w:val="both"/>
        <w:rPr>
          <w:rFonts w:cstheme="minorHAnsi"/>
        </w:rPr>
      </w:pPr>
      <w:r w:rsidRPr="00C84773">
        <w:rPr>
          <w:rFonts w:cstheme="minorHAnsi"/>
          <w:b/>
          <w:bCs/>
        </w:rPr>
        <w:t>Livrable 2 :</w:t>
      </w:r>
      <w:r w:rsidRPr="00C84773">
        <w:rPr>
          <w:rFonts w:cstheme="minorHAnsi"/>
        </w:rPr>
        <w:t xml:space="preserve"> </w:t>
      </w:r>
      <w:r w:rsidR="00651BAA" w:rsidRPr="00C84773">
        <w:rPr>
          <w:rFonts w:cstheme="minorHAnsi"/>
        </w:rPr>
        <w:t>V</w:t>
      </w:r>
      <w:r w:rsidR="00CE507D" w:rsidRPr="00C84773">
        <w:rPr>
          <w:rFonts w:cstheme="minorHAnsi"/>
        </w:rPr>
        <w:t>ersion préliminaire du rapport d</w:t>
      </w:r>
      <w:r w:rsidR="00651BAA" w:rsidRPr="00C84773">
        <w:rPr>
          <w:rFonts w:cstheme="minorHAnsi"/>
        </w:rPr>
        <w:t>e l’analyse</w:t>
      </w:r>
      <w:r w:rsidR="00CE507D" w:rsidRPr="00C84773">
        <w:rPr>
          <w:rFonts w:cstheme="minorHAnsi"/>
        </w:rPr>
        <w:t xml:space="preserve"> </w:t>
      </w:r>
      <w:r w:rsidR="00651BAA" w:rsidRPr="00C84773">
        <w:rPr>
          <w:rFonts w:cstheme="minorHAnsi"/>
        </w:rPr>
        <w:t xml:space="preserve">SEE compilant les </w:t>
      </w:r>
      <w:r w:rsidR="00B93451" w:rsidRPr="00C84773">
        <w:rPr>
          <w:rFonts w:cstheme="minorHAnsi"/>
        </w:rPr>
        <w:t xml:space="preserve">éléments collectés lors de la revue documentaire et </w:t>
      </w:r>
      <w:r w:rsidR="005F6DC7" w:rsidRPr="00C84773">
        <w:rPr>
          <w:rFonts w:cstheme="minorHAnsi"/>
        </w:rPr>
        <w:t>d</w:t>
      </w:r>
      <w:r w:rsidR="00B93451" w:rsidRPr="00C84773">
        <w:rPr>
          <w:rFonts w:cstheme="minorHAnsi"/>
        </w:rPr>
        <w:t>es consultations avec les parties prenantes</w:t>
      </w:r>
      <w:r w:rsidR="005F6DC7" w:rsidRPr="00C84773">
        <w:rPr>
          <w:rFonts w:cstheme="minorHAnsi"/>
        </w:rPr>
        <w:t>.</w:t>
      </w:r>
    </w:p>
    <w:p w14:paraId="06C69029" w14:textId="64E7DFD2" w:rsidR="00CE507D" w:rsidRPr="00C84773" w:rsidRDefault="00A859BD" w:rsidP="004F6FC0">
      <w:pPr>
        <w:autoSpaceDE w:val="0"/>
        <w:autoSpaceDN w:val="0"/>
        <w:adjustRightInd w:val="0"/>
        <w:spacing w:after="120" w:line="276" w:lineRule="auto"/>
        <w:jc w:val="both"/>
        <w:rPr>
          <w:rFonts w:cstheme="minorHAnsi"/>
        </w:rPr>
      </w:pPr>
      <w:r w:rsidRPr="00C84773">
        <w:rPr>
          <w:rFonts w:cstheme="minorHAnsi"/>
          <w:b/>
          <w:bCs/>
        </w:rPr>
        <w:t xml:space="preserve">Livrable 3 : </w:t>
      </w:r>
      <w:r w:rsidR="00651BAA" w:rsidRPr="00C84773">
        <w:rPr>
          <w:rFonts w:cstheme="minorHAnsi"/>
        </w:rPr>
        <w:t>Rapport de l’atelier de revue et de validation du rapport préliminaire d’analyse SEE</w:t>
      </w:r>
      <w:r w:rsidR="005F6DC7" w:rsidRPr="00C84773">
        <w:rPr>
          <w:rFonts w:cstheme="minorHAnsi"/>
        </w:rPr>
        <w:t>.</w:t>
      </w:r>
    </w:p>
    <w:p w14:paraId="6F40074A" w14:textId="68E75A68" w:rsidR="00470844" w:rsidRPr="00C84773" w:rsidRDefault="00CE507D" w:rsidP="00470844">
      <w:pPr>
        <w:pStyle w:val="BodyText"/>
        <w:spacing w:before="20" w:line="254" w:lineRule="auto"/>
        <w:ind w:right="515"/>
        <w:jc w:val="both"/>
        <w:rPr>
          <w:rFonts w:asciiTheme="minorHAnsi" w:hAnsiTheme="minorHAnsi" w:cstheme="minorHAnsi"/>
        </w:rPr>
      </w:pPr>
      <w:r w:rsidRPr="00C84773">
        <w:rPr>
          <w:rFonts w:asciiTheme="minorHAnsi" w:hAnsiTheme="minorHAnsi" w:cstheme="minorHAnsi"/>
          <w:b/>
          <w:bCs/>
        </w:rPr>
        <w:t>Livrable</w:t>
      </w:r>
      <w:r w:rsidR="005A6DF1" w:rsidRPr="00C84773">
        <w:rPr>
          <w:rFonts w:asciiTheme="minorHAnsi" w:hAnsiTheme="minorHAnsi" w:cstheme="minorHAnsi"/>
          <w:b/>
          <w:bCs/>
        </w:rPr>
        <w:t xml:space="preserve"> </w:t>
      </w:r>
      <w:r w:rsidRPr="00C84773">
        <w:rPr>
          <w:rFonts w:asciiTheme="minorHAnsi" w:hAnsiTheme="minorHAnsi" w:cstheme="minorHAnsi"/>
          <w:b/>
          <w:bCs/>
        </w:rPr>
        <w:t>4 :</w:t>
      </w:r>
      <w:r w:rsidRPr="00C84773">
        <w:rPr>
          <w:rFonts w:asciiTheme="minorHAnsi" w:hAnsiTheme="minorHAnsi" w:cstheme="minorHAnsi"/>
        </w:rPr>
        <w:t xml:space="preserve"> </w:t>
      </w:r>
      <w:r w:rsidR="00651BAA" w:rsidRPr="00C84773">
        <w:rPr>
          <w:rFonts w:asciiTheme="minorHAnsi" w:hAnsiTheme="minorHAnsi" w:cstheme="minorHAnsi"/>
        </w:rPr>
        <w:t>V</w:t>
      </w:r>
      <w:r w:rsidRPr="00C84773">
        <w:rPr>
          <w:rFonts w:asciiTheme="minorHAnsi" w:hAnsiTheme="minorHAnsi" w:cstheme="minorHAnsi"/>
        </w:rPr>
        <w:t xml:space="preserve">ersion </w:t>
      </w:r>
      <w:r w:rsidR="00A859BD" w:rsidRPr="00C84773">
        <w:rPr>
          <w:rFonts w:asciiTheme="minorHAnsi" w:hAnsiTheme="minorHAnsi" w:cstheme="minorHAnsi"/>
        </w:rPr>
        <w:t>finale d</w:t>
      </w:r>
      <w:r w:rsidRPr="00C84773">
        <w:rPr>
          <w:rFonts w:asciiTheme="minorHAnsi" w:hAnsiTheme="minorHAnsi" w:cstheme="minorHAnsi"/>
        </w:rPr>
        <w:t>u rapport d</w:t>
      </w:r>
      <w:r w:rsidR="00A859BD" w:rsidRPr="00C84773">
        <w:rPr>
          <w:rFonts w:asciiTheme="minorHAnsi" w:hAnsiTheme="minorHAnsi" w:cstheme="minorHAnsi"/>
        </w:rPr>
        <w:t>’</w:t>
      </w:r>
      <w:r w:rsidR="00651BAA" w:rsidRPr="00C84773">
        <w:rPr>
          <w:rFonts w:asciiTheme="minorHAnsi" w:hAnsiTheme="minorHAnsi" w:cstheme="minorHAnsi"/>
        </w:rPr>
        <w:t>analyse</w:t>
      </w:r>
      <w:r w:rsidR="00A859BD" w:rsidRPr="00C84773">
        <w:rPr>
          <w:rFonts w:asciiTheme="minorHAnsi" w:hAnsiTheme="minorHAnsi" w:cstheme="minorHAnsi"/>
        </w:rPr>
        <w:t xml:space="preserve"> </w:t>
      </w:r>
      <w:r w:rsidR="00651BAA" w:rsidRPr="00C84773">
        <w:rPr>
          <w:rFonts w:asciiTheme="minorHAnsi" w:hAnsiTheme="minorHAnsi" w:cstheme="minorHAnsi"/>
        </w:rPr>
        <w:t>SEE</w:t>
      </w:r>
      <w:r w:rsidR="00B93451" w:rsidRPr="00C84773">
        <w:rPr>
          <w:rFonts w:asciiTheme="minorHAnsi" w:hAnsiTheme="minorHAnsi" w:cstheme="minorHAnsi"/>
        </w:rPr>
        <w:t xml:space="preserve"> prenant en considération les recommandations issues de l’atelier de revue et de validation</w:t>
      </w:r>
      <w:r w:rsidR="005F6DC7" w:rsidRPr="00C84773">
        <w:rPr>
          <w:rFonts w:asciiTheme="minorHAnsi" w:hAnsiTheme="minorHAnsi" w:cstheme="minorHAnsi"/>
        </w:rPr>
        <w:t>.</w:t>
      </w:r>
      <w:r w:rsidR="00470844" w:rsidRPr="00C84773">
        <w:rPr>
          <w:rFonts w:asciiTheme="minorHAnsi" w:hAnsiTheme="minorHAnsi" w:cstheme="minorHAnsi"/>
        </w:rPr>
        <w:t xml:space="preserve"> Le rapport final révisé et référencé</w:t>
      </w:r>
      <w:r w:rsidR="00470844" w:rsidRPr="00C84773">
        <w:rPr>
          <w:rFonts w:asciiTheme="minorHAnsi" w:hAnsiTheme="minorHAnsi" w:cstheme="minorHAnsi"/>
          <w:spacing w:val="-47"/>
        </w:rPr>
        <w:t xml:space="preserve">    </w:t>
      </w:r>
      <w:r w:rsidR="00470844" w:rsidRPr="00C84773">
        <w:rPr>
          <w:rFonts w:asciiTheme="minorHAnsi" w:hAnsiTheme="minorHAnsi" w:cstheme="minorHAnsi"/>
        </w:rPr>
        <w:t>comprendra</w:t>
      </w:r>
      <w:r w:rsidR="00470844" w:rsidRPr="00C84773">
        <w:rPr>
          <w:rFonts w:asciiTheme="minorHAnsi" w:hAnsiTheme="minorHAnsi" w:cstheme="minorHAnsi"/>
          <w:spacing w:val="-2"/>
        </w:rPr>
        <w:t xml:space="preserve"> </w:t>
      </w:r>
      <w:r w:rsidR="00470844" w:rsidRPr="00C84773">
        <w:rPr>
          <w:rFonts w:asciiTheme="minorHAnsi" w:hAnsiTheme="minorHAnsi" w:cstheme="minorHAnsi"/>
        </w:rPr>
        <w:t>un</w:t>
      </w:r>
      <w:r w:rsidR="00470844" w:rsidRPr="00C84773">
        <w:rPr>
          <w:rFonts w:asciiTheme="minorHAnsi" w:hAnsiTheme="minorHAnsi" w:cstheme="minorHAnsi"/>
          <w:spacing w:val="-3"/>
        </w:rPr>
        <w:t xml:space="preserve"> </w:t>
      </w:r>
      <w:r w:rsidR="00470844" w:rsidRPr="00C84773">
        <w:rPr>
          <w:rFonts w:asciiTheme="minorHAnsi" w:hAnsiTheme="minorHAnsi" w:cstheme="minorHAnsi"/>
        </w:rPr>
        <w:t>résumé (pas</w:t>
      </w:r>
      <w:r w:rsidR="00470844" w:rsidRPr="00C84773">
        <w:rPr>
          <w:rFonts w:asciiTheme="minorHAnsi" w:hAnsiTheme="minorHAnsi" w:cstheme="minorHAnsi"/>
          <w:spacing w:val="-1"/>
        </w:rPr>
        <w:t xml:space="preserve"> </w:t>
      </w:r>
      <w:r w:rsidR="00470844" w:rsidRPr="00C84773">
        <w:rPr>
          <w:rFonts w:asciiTheme="minorHAnsi" w:hAnsiTheme="minorHAnsi" w:cstheme="minorHAnsi"/>
        </w:rPr>
        <w:t>plus</w:t>
      </w:r>
      <w:r w:rsidR="00470844" w:rsidRPr="00C84773">
        <w:rPr>
          <w:rFonts w:asciiTheme="minorHAnsi" w:hAnsiTheme="minorHAnsi" w:cstheme="minorHAnsi"/>
          <w:spacing w:val="-1"/>
        </w:rPr>
        <w:t xml:space="preserve"> </w:t>
      </w:r>
      <w:r w:rsidR="00470844" w:rsidRPr="00C84773">
        <w:rPr>
          <w:rFonts w:asciiTheme="minorHAnsi" w:hAnsiTheme="minorHAnsi" w:cstheme="minorHAnsi"/>
        </w:rPr>
        <w:t>de</w:t>
      </w:r>
      <w:r w:rsidR="00470844" w:rsidRPr="00C84773">
        <w:rPr>
          <w:rFonts w:asciiTheme="minorHAnsi" w:hAnsiTheme="minorHAnsi" w:cstheme="minorHAnsi"/>
          <w:spacing w:val="-3"/>
        </w:rPr>
        <w:t xml:space="preserve"> </w:t>
      </w:r>
      <w:r w:rsidR="00470844" w:rsidRPr="00C84773">
        <w:rPr>
          <w:rFonts w:asciiTheme="minorHAnsi" w:hAnsiTheme="minorHAnsi" w:cstheme="minorHAnsi"/>
        </w:rPr>
        <w:t>4</w:t>
      </w:r>
      <w:r w:rsidR="00470844" w:rsidRPr="00C84773">
        <w:rPr>
          <w:rFonts w:asciiTheme="minorHAnsi" w:hAnsiTheme="minorHAnsi" w:cstheme="minorHAnsi"/>
          <w:spacing w:val="-2"/>
        </w:rPr>
        <w:t xml:space="preserve"> </w:t>
      </w:r>
      <w:r w:rsidR="00470844" w:rsidRPr="00C84773">
        <w:rPr>
          <w:rFonts w:asciiTheme="minorHAnsi" w:hAnsiTheme="minorHAnsi" w:cstheme="minorHAnsi"/>
        </w:rPr>
        <w:t>pages)</w:t>
      </w:r>
      <w:r w:rsidR="00470844" w:rsidRPr="00C84773">
        <w:rPr>
          <w:rFonts w:asciiTheme="minorHAnsi" w:hAnsiTheme="minorHAnsi" w:cstheme="minorHAnsi"/>
          <w:spacing w:val="-3"/>
        </w:rPr>
        <w:t xml:space="preserve"> </w:t>
      </w:r>
      <w:r w:rsidR="00470844" w:rsidRPr="00C84773">
        <w:rPr>
          <w:rFonts w:asciiTheme="minorHAnsi" w:hAnsiTheme="minorHAnsi" w:cstheme="minorHAnsi"/>
        </w:rPr>
        <w:t>avec</w:t>
      </w:r>
      <w:r w:rsidR="00470844" w:rsidRPr="00C84773">
        <w:rPr>
          <w:rFonts w:asciiTheme="minorHAnsi" w:hAnsiTheme="minorHAnsi" w:cstheme="minorHAnsi"/>
          <w:spacing w:val="1"/>
        </w:rPr>
        <w:t xml:space="preserve"> </w:t>
      </w:r>
      <w:r w:rsidR="00470844" w:rsidRPr="00C84773">
        <w:rPr>
          <w:rFonts w:asciiTheme="minorHAnsi" w:hAnsiTheme="minorHAnsi" w:cstheme="minorHAnsi"/>
        </w:rPr>
        <w:t>les</w:t>
      </w:r>
      <w:r w:rsidR="00470844" w:rsidRPr="00C84773">
        <w:rPr>
          <w:rFonts w:asciiTheme="minorHAnsi" w:hAnsiTheme="minorHAnsi" w:cstheme="minorHAnsi"/>
          <w:spacing w:val="-3"/>
        </w:rPr>
        <w:t xml:space="preserve"> </w:t>
      </w:r>
      <w:r w:rsidR="00470844" w:rsidRPr="00C84773">
        <w:rPr>
          <w:rFonts w:asciiTheme="minorHAnsi" w:hAnsiTheme="minorHAnsi" w:cstheme="minorHAnsi"/>
        </w:rPr>
        <w:t>principales</w:t>
      </w:r>
      <w:r w:rsidR="00470844" w:rsidRPr="00C84773">
        <w:rPr>
          <w:rFonts w:asciiTheme="minorHAnsi" w:hAnsiTheme="minorHAnsi" w:cstheme="minorHAnsi"/>
          <w:spacing w:val="-1"/>
        </w:rPr>
        <w:t xml:space="preserve"> </w:t>
      </w:r>
      <w:r w:rsidR="00470844" w:rsidRPr="00C84773">
        <w:rPr>
          <w:rFonts w:asciiTheme="minorHAnsi" w:hAnsiTheme="minorHAnsi" w:cstheme="minorHAnsi"/>
        </w:rPr>
        <w:t>conclusions</w:t>
      </w:r>
      <w:r w:rsidR="00470844" w:rsidRPr="00C84773">
        <w:rPr>
          <w:rFonts w:asciiTheme="minorHAnsi" w:hAnsiTheme="minorHAnsi" w:cstheme="minorHAnsi"/>
          <w:spacing w:val="-3"/>
        </w:rPr>
        <w:t xml:space="preserve"> </w:t>
      </w:r>
      <w:r w:rsidR="00470844" w:rsidRPr="00C84773">
        <w:rPr>
          <w:rFonts w:asciiTheme="minorHAnsi" w:hAnsiTheme="minorHAnsi" w:cstheme="minorHAnsi"/>
        </w:rPr>
        <w:t>et recommandations.</w:t>
      </w:r>
    </w:p>
    <w:p w14:paraId="778F7471" w14:textId="77777777" w:rsidR="00470844" w:rsidRPr="00C84773" w:rsidRDefault="00470844" w:rsidP="00470844">
      <w:pPr>
        <w:widowControl w:val="0"/>
        <w:autoSpaceDE w:val="0"/>
        <w:autoSpaceDN w:val="0"/>
        <w:adjustRightInd w:val="0"/>
        <w:spacing w:after="0" w:line="276" w:lineRule="auto"/>
        <w:jc w:val="both"/>
        <w:rPr>
          <w:rFonts w:cstheme="minorHAnsi"/>
        </w:rPr>
      </w:pPr>
    </w:p>
    <w:p w14:paraId="44B6C3F2" w14:textId="3572242B" w:rsidR="009C22FC" w:rsidRPr="00C84773" w:rsidRDefault="00A859BD" w:rsidP="00046316">
      <w:pPr>
        <w:widowControl w:val="0"/>
        <w:autoSpaceDE w:val="0"/>
        <w:autoSpaceDN w:val="0"/>
        <w:adjustRightInd w:val="0"/>
        <w:spacing w:after="120" w:line="276" w:lineRule="auto"/>
        <w:jc w:val="both"/>
        <w:rPr>
          <w:rFonts w:cstheme="minorHAnsi"/>
        </w:rPr>
      </w:pPr>
      <w:r w:rsidRPr="00C84773">
        <w:rPr>
          <w:rFonts w:cstheme="minorHAnsi"/>
        </w:rPr>
        <w:t>A noter que l</w:t>
      </w:r>
      <w:r w:rsidR="00282E3B" w:rsidRPr="00C84773">
        <w:rPr>
          <w:rFonts w:cstheme="minorHAnsi"/>
        </w:rPr>
        <w:t>a</w:t>
      </w:r>
      <w:r w:rsidR="009C22FC" w:rsidRPr="00C84773">
        <w:rPr>
          <w:rFonts w:cstheme="minorHAnsi"/>
        </w:rPr>
        <w:t xml:space="preserve"> structure d</w:t>
      </w:r>
      <w:r w:rsidR="00282E3B" w:rsidRPr="00C84773">
        <w:rPr>
          <w:rFonts w:cstheme="minorHAnsi"/>
        </w:rPr>
        <w:t>u rapport d’</w:t>
      </w:r>
      <w:r w:rsidR="00470844" w:rsidRPr="00C84773">
        <w:rPr>
          <w:rFonts w:cstheme="minorHAnsi"/>
        </w:rPr>
        <w:t>e l’analyse</w:t>
      </w:r>
      <w:r w:rsidR="00282E3B" w:rsidRPr="00C84773">
        <w:rPr>
          <w:rFonts w:cstheme="minorHAnsi"/>
        </w:rPr>
        <w:t>,</w:t>
      </w:r>
      <w:r w:rsidR="009C22FC" w:rsidRPr="00C84773">
        <w:rPr>
          <w:rFonts w:cstheme="minorHAnsi"/>
        </w:rPr>
        <w:t xml:space="preserve"> </w:t>
      </w:r>
      <w:r w:rsidR="00282E3B" w:rsidRPr="00C84773">
        <w:rPr>
          <w:rFonts w:cstheme="minorHAnsi"/>
        </w:rPr>
        <w:t xml:space="preserve">telle que </w:t>
      </w:r>
      <w:r w:rsidR="00DB4B75" w:rsidRPr="00C84773">
        <w:rPr>
          <w:rFonts w:cstheme="minorHAnsi"/>
        </w:rPr>
        <w:t>recommandée</w:t>
      </w:r>
      <w:r w:rsidR="009C22FC" w:rsidRPr="00C84773">
        <w:rPr>
          <w:rFonts w:cstheme="minorHAnsi"/>
        </w:rPr>
        <w:t xml:space="preserve"> dans la note technique de </w:t>
      </w:r>
      <w:r w:rsidR="009C22FC" w:rsidRPr="00C84773">
        <w:rPr>
          <w:rFonts w:cstheme="minorHAnsi"/>
        </w:rPr>
        <w:lastRenderedPageBreak/>
        <w:t xml:space="preserve">l’UNICEF </w:t>
      </w:r>
      <w:r w:rsidR="00282E3B" w:rsidRPr="00C84773">
        <w:rPr>
          <w:rFonts w:cstheme="minorHAnsi"/>
        </w:rPr>
        <w:t xml:space="preserve">et ses annexes </w:t>
      </w:r>
      <w:r w:rsidR="009C22FC" w:rsidRPr="00C84773">
        <w:rPr>
          <w:rFonts w:cstheme="minorHAnsi"/>
        </w:rPr>
        <w:t>sur « les évaluations de la santé environnementale des enfants »</w:t>
      </w:r>
      <w:r w:rsidR="00282E3B" w:rsidRPr="00C84773">
        <w:rPr>
          <w:rFonts w:cstheme="minorHAnsi"/>
        </w:rPr>
        <w:t>,</w:t>
      </w:r>
      <w:r w:rsidR="009C22FC" w:rsidRPr="00C84773">
        <w:rPr>
          <w:rFonts w:cstheme="minorHAnsi"/>
        </w:rPr>
        <w:t xml:space="preserve"> </w:t>
      </w:r>
      <w:r w:rsidR="00282E3B" w:rsidRPr="00C84773">
        <w:rPr>
          <w:rFonts w:cstheme="minorHAnsi"/>
        </w:rPr>
        <w:t>devra inclure</w:t>
      </w:r>
      <w:r w:rsidR="009C22FC" w:rsidRPr="00C84773">
        <w:rPr>
          <w:rFonts w:cstheme="minorHAnsi"/>
        </w:rPr>
        <w:t xml:space="preserve"> les éléments suivants :</w:t>
      </w:r>
    </w:p>
    <w:p w14:paraId="103980EA" w14:textId="414AFEA7" w:rsidR="009C22FC" w:rsidRPr="00C84773" w:rsidRDefault="009C22FC" w:rsidP="00046316">
      <w:pPr>
        <w:spacing w:after="120"/>
        <w:jc w:val="both"/>
        <w:rPr>
          <w:rFonts w:cstheme="minorHAnsi"/>
        </w:rPr>
      </w:pPr>
      <w:r w:rsidRPr="00C84773">
        <w:rPr>
          <w:rFonts w:cstheme="minorHAnsi"/>
          <w:b/>
          <w:bCs/>
        </w:rPr>
        <w:t>1. Informations générales sur le pays :</w:t>
      </w:r>
      <w:r w:rsidRPr="00C84773">
        <w:rPr>
          <w:rFonts w:cstheme="minorHAnsi"/>
        </w:rPr>
        <w:t xml:space="preserve"> Géographie et démographie, situation socio-économique, structure politique et de gouvernance</w:t>
      </w:r>
    </w:p>
    <w:p w14:paraId="065B3A04" w14:textId="2D145FDC" w:rsidR="009C22FC" w:rsidRPr="00C84773" w:rsidRDefault="009C22FC" w:rsidP="00046316">
      <w:pPr>
        <w:spacing w:after="120"/>
        <w:jc w:val="both"/>
        <w:rPr>
          <w:rFonts w:cstheme="minorHAnsi"/>
          <w:b/>
          <w:bCs/>
        </w:rPr>
      </w:pPr>
      <w:r w:rsidRPr="00C84773">
        <w:rPr>
          <w:rFonts w:cstheme="minorHAnsi"/>
          <w:b/>
          <w:bCs/>
        </w:rPr>
        <w:t>2. Analyse des systèmes de santé</w:t>
      </w:r>
      <w:r w:rsidR="00AC4585" w:rsidRPr="00C84773">
        <w:rPr>
          <w:rFonts w:cstheme="minorHAnsi"/>
          <w:b/>
          <w:bCs/>
        </w:rPr>
        <w:t> :</w:t>
      </w:r>
    </w:p>
    <w:p w14:paraId="04751102" w14:textId="79E70347" w:rsidR="009C22FC" w:rsidRPr="00C84773" w:rsidRDefault="009C22FC" w:rsidP="00046316">
      <w:pPr>
        <w:pStyle w:val="ListParagraph"/>
        <w:numPr>
          <w:ilvl w:val="0"/>
          <w:numId w:val="37"/>
        </w:numPr>
        <w:spacing w:after="120" w:line="240" w:lineRule="auto"/>
        <w:jc w:val="both"/>
        <w:rPr>
          <w:rFonts w:cstheme="minorHAnsi"/>
        </w:rPr>
      </w:pPr>
      <w:r w:rsidRPr="00C84773">
        <w:rPr>
          <w:rFonts w:cstheme="minorHAnsi"/>
        </w:rPr>
        <w:t xml:space="preserve">Situation des enfants, y compris les principales causes de morbidité et de mortalité ; maladies et affections attribuables à des risques environnementaux </w:t>
      </w:r>
    </w:p>
    <w:p w14:paraId="1A1A3A64" w14:textId="3A0130D9" w:rsidR="009C22FC" w:rsidRPr="00C84773" w:rsidRDefault="009C22FC" w:rsidP="00046316">
      <w:pPr>
        <w:pStyle w:val="ListParagraph"/>
        <w:numPr>
          <w:ilvl w:val="0"/>
          <w:numId w:val="37"/>
        </w:numPr>
        <w:spacing w:after="120" w:line="240" w:lineRule="auto"/>
        <w:jc w:val="both"/>
        <w:rPr>
          <w:rFonts w:cstheme="minorHAnsi"/>
        </w:rPr>
      </w:pPr>
      <w:r w:rsidRPr="00C84773">
        <w:rPr>
          <w:rFonts w:cstheme="minorHAnsi"/>
        </w:rPr>
        <w:t>Capacité sectorielle et effectifs, y compris le taux de professionnels de la santé (médecins, infirmières, sage-femmes, agents de santé communautaires) et toute information sur les connaissances existantes des professionnels de la santé en matière d</w:t>
      </w:r>
      <w:r w:rsidR="00282E3B" w:rsidRPr="00C84773">
        <w:rPr>
          <w:rFonts w:cstheme="minorHAnsi"/>
        </w:rPr>
        <w:t>e S</w:t>
      </w:r>
      <w:r w:rsidR="00BB7258" w:rsidRPr="00C84773">
        <w:rPr>
          <w:rFonts w:cstheme="minorHAnsi"/>
        </w:rPr>
        <w:t>EE</w:t>
      </w:r>
    </w:p>
    <w:p w14:paraId="7B3EDECC" w14:textId="0BB35596" w:rsidR="009C22FC" w:rsidRPr="00C84773" w:rsidRDefault="009C22FC" w:rsidP="00046316">
      <w:pPr>
        <w:pStyle w:val="ListParagraph"/>
        <w:numPr>
          <w:ilvl w:val="0"/>
          <w:numId w:val="37"/>
        </w:numPr>
        <w:spacing w:after="120" w:line="240" w:lineRule="auto"/>
        <w:jc w:val="both"/>
        <w:rPr>
          <w:rFonts w:cstheme="minorHAnsi"/>
        </w:rPr>
      </w:pPr>
      <w:r w:rsidRPr="00C84773">
        <w:rPr>
          <w:rFonts w:cstheme="minorHAnsi"/>
        </w:rPr>
        <w:t>Surveillance et technologies, y compris les outils utilisés pour la déclaration régulière et/ou périodique des risques environnementaux, des décès liés à l'environnement et de la charge de morbidité chez les enfants</w:t>
      </w:r>
    </w:p>
    <w:p w14:paraId="14AFC602" w14:textId="55B31BF5" w:rsidR="00282E3B" w:rsidRPr="00C84773" w:rsidRDefault="009C22FC" w:rsidP="00046316">
      <w:pPr>
        <w:pStyle w:val="ListParagraph"/>
        <w:numPr>
          <w:ilvl w:val="0"/>
          <w:numId w:val="37"/>
        </w:numPr>
        <w:spacing w:after="120" w:line="240" w:lineRule="auto"/>
        <w:jc w:val="both"/>
        <w:rPr>
          <w:rFonts w:cstheme="minorHAnsi"/>
        </w:rPr>
      </w:pPr>
      <w:r w:rsidRPr="00C84773">
        <w:rPr>
          <w:rFonts w:cstheme="minorHAnsi"/>
        </w:rPr>
        <w:t xml:space="preserve">Infrastructures et services de santé, y compris le nombre et le type d'établissements de soins de santé ; capacités de prévention, de détection (laboratoires) et de diagnostic, traitement des maladies liées à </w:t>
      </w:r>
      <w:r w:rsidR="00282E3B" w:rsidRPr="00C84773">
        <w:rPr>
          <w:rFonts w:cstheme="minorHAnsi"/>
        </w:rPr>
        <w:t>la S</w:t>
      </w:r>
      <w:r w:rsidR="00BB7258" w:rsidRPr="00C84773">
        <w:rPr>
          <w:rFonts w:cstheme="minorHAnsi"/>
        </w:rPr>
        <w:t>EE</w:t>
      </w:r>
    </w:p>
    <w:p w14:paraId="4253E161" w14:textId="77777777" w:rsidR="009C22FC" w:rsidRPr="00C84773" w:rsidRDefault="009C22FC" w:rsidP="00046316">
      <w:pPr>
        <w:pStyle w:val="ListParagraph"/>
        <w:numPr>
          <w:ilvl w:val="0"/>
          <w:numId w:val="38"/>
        </w:numPr>
        <w:spacing w:after="120" w:line="240" w:lineRule="auto"/>
        <w:jc w:val="both"/>
        <w:rPr>
          <w:rFonts w:cstheme="minorHAnsi"/>
        </w:rPr>
      </w:pPr>
      <w:r w:rsidRPr="00C84773">
        <w:rPr>
          <w:rFonts w:cstheme="minorHAnsi"/>
        </w:rPr>
        <w:t>Budget et dépenses de santé</w:t>
      </w:r>
    </w:p>
    <w:p w14:paraId="3B8145EA" w14:textId="6F7236F5" w:rsidR="00DB4B75" w:rsidRPr="00C84773" w:rsidRDefault="00DB4B75" w:rsidP="00046316">
      <w:pPr>
        <w:spacing w:after="120"/>
        <w:jc w:val="both"/>
        <w:rPr>
          <w:rFonts w:cstheme="minorHAnsi"/>
          <w:b/>
          <w:bCs/>
        </w:rPr>
      </w:pPr>
      <w:r w:rsidRPr="00C84773">
        <w:rPr>
          <w:rFonts w:cstheme="minorHAnsi"/>
          <w:b/>
          <w:bCs/>
        </w:rPr>
        <w:t xml:space="preserve">3. Exposition des enfants aux dangers </w:t>
      </w:r>
      <w:r w:rsidR="00046316" w:rsidRPr="00C84773">
        <w:rPr>
          <w:rFonts w:cstheme="minorHAnsi"/>
          <w:b/>
          <w:bCs/>
        </w:rPr>
        <w:t xml:space="preserve">climatiques et </w:t>
      </w:r>
      <w:r w:rsidRPr="00C84773">
        <w:rPr>
          <w:rFonts w:cstheme="minorHAnsi"/>
          <w:b/>
          <w:bCs/>
        </w:rPr>
        <w:t>environnementaux suivants :</w:t>
      </w:r>
    </w:p>
    <w:p w14:paraId="0EAA0DEC" w14:textId="2D4D1F59" w:rsidR="00DB4B75" w:rsidRPr="00C84773" w:rsidRDefault="00DB4B75" w:rsidP="00046316">
      <w:pPr>
        <w:pStyle w:val="ListParagraph"/>
        <w:numPr>
          <w:ilvl w:val="0"/>
          <w:numId w:val="39"/>
        </w:numPr>
        <w:spacing w:after="120"/>
        <w:jc w:val="both"/>
        <w:rPr>
          <w:rFonts w:cstheme="minorHAnsi"/>
        </w:rPr>
      </w:pPr>
      <w:r w:rsidRPr="00C84773">
        <w:rPr>
          <w:rFonts w:cstheme="minorHAnsi"/>
        </w:rPr>
        <w:t>Métaux lourds : plomb, mercure, cadmium, arsenic</w:t>
      </w:r>
      <w:r w:rsidR="003D0E67" w:rsidRPr="00C84773">
        <w:rPr>
          <w:rFonts w:cstheme="minorHAnsi"/>
        </w:rPr>
        <w:t xml:space="preserve"> </w:t>
      </w:r>
      <w:r w:rsidR="00B93451" w:rsidRPr="00C84773">
        <w:rPr>
          <w:rFonts w:cstheme="minorHAnsi"/>
        </w:rPr>
        <w:t>(</w:t>
      </w:r>
      <w:r w:rsidR="003D0E67" w:rsidRPr="00C84773">
        <w:rPr>
          <w:rFonts w:cstheme="minorHAnsi"/>
          <w:i/>
          <w:iCs/>
        </w:rPr>
        <w:t xml:space="preserve">avec </w:t>
      </w:r>
      <w:r w:rsidR="00B93451" w:rsidRPr="00C84773">
        <w:rPr>
          <w:rFonts w:cstheme="minorHAnsi"/>
          <w:i/>
          <w:iCs/>
        </w:rPr>
        <w:t>une analyse bien détaillée sur le plomb</w:t>
      </w:r>
      <w:r w:rsidR="007C6044" w:rsidRPr="00C84773">
        <w:rPr>
          <w:rFonts w:cstheme="minorHAnsi"/>
          <w:i/>
          <w:iCs/>
        </w:rPr>
        <w:t xml:space="preserve"> dans le cadre du partenariat LFP</w:t>
      </w:r>
      <w:r w:rsidR="00B93451" w:rsidRPr="00C84773">
        <w:rPr>
          <w:rFonts w:cstheme="minorHAnsi"/>
        </w:rPr>
        <w:t>)</w:t>
      </w:r>
    </w:p>
    <w:p w14:paraId="2CE4DC45" w14:textId="77777777" w:rsidR="00DB4B75" w:rsidRPr="00C84773" w:rsidRDefault="00DB4B75" w:rsidP="00046316">
      <w:pPr>
        <w:pStyle w:val="ListParagraph"/>
        <w:numPr>
          <w:ilvl w:val="0"/>
          <w:numId w:val="39"/>
        </w:numPr>
        <w:spacing w:after="120"/>
        <w:jc w:val="both"/>
        <w:rPr>
          <w:rFonts w:cstheme="minorHAnsi"/>
        </w:rPr>
      </w:pPr>
      <w:r w:rsidRPr="00C84773">
        <w:rPr>
          <w:rFonts w:cstheme="minorHAnsi"/>
        </w:rPr>
        <w:t>Produits chimiques toxiques : polluants organiques persistants, pesticides hautement dangereux, benzène, amiante</w:t>
      </w:r>
    </w:p>
    <w:p w14:paraId="62E30C1F" w14:textId="77777777" w:rsidR="00DB4B75" w:rsidRPr="00C84773" w:rsidRDefault="00DB4B75" w:rsidP="00046316">
      <w:pPr>
        <w:pStyle w:val="ListParagraph"/>
        <w:numPr>
          <w:ilvl w:val="0"/>
          <w:numId w:val="39"/>
        </w:numPr>
        <w:spacing w:after="120"/>
        <w:jc w:val="both"/>
        <w:rPr>
          <w:rFonts w:cstheme="minorHAnsi"/>
        </w:rPr>
      </w:pPr>
      <w:r w:rsidRPr="00C84773">
        <w:rPr>
          <w:rFonts w:cstheme="minorHAnsi"/>
        </w:rPr>
        <w:t xml:space="preserve">Déchets dangereux : déchets médicaux, déchets électriques et électroniques, contaminations liées aux conflits, autres déchets industriels </w:t>
      </w:r>
    </w:p>
    <w:p w14:paraId="3B54DEEC" w14:textId="77777777" w:rsidR="00DB4B75" w:rsidRPr="00C84773" w:rsidRDefault="00DB4B75" w:rsidP="00046316">
      <w:pPr>
        <w:pStyle w:val="ListParagraph"/>
        <w:numPr>
          <w:ilvl w:val="0"/>
          <w:numId w:val="39"/>
        </w:numPr>
        <w:spacing w:after="120"/>
        <w:jc w:val="both"/>
        <w:rPr>
          <w:rFonts w:cstheme="minorHAnsi"/>
        </w:rPr>
      </w:pPr>
      <w:r w:rsidRPr="00C84773">
        <w:rPr>
          <w:rFonts w:cstheme="minorHAnsi"/>
        </w:rPr>
        <w:t>Pollution de l'air : qualité de l'air domestique et de l'air ambiant</w:t>
      </w:r>
    </w:p>
    <w:p w14:paraId="4682E829" w14:textId="4B311977" w:rsidR="00DB4B75" w:rsidRPr="00C84773" w:rsidRDefault="00DB4B75" w:rsidP="00046316">
      <w:pPr>
        <w:pStyle w:val="ListParagraph"/>
        <w:numPr>
          <w:ilvl w:val="0"/>
          <w:numId w:val="39"/>
        </w:numPr>
        <w:spacing w:after="120"/>
        <w:jc w:val="both"/>
        <w:rPr>
          <w:rFonts w:cstheme="minorHAnsi"/>
        </w:rPr>
      </w:pPr>
      <w:r w:rsidRPr="00C84773">
        <w:rPr>
          <w:rFonts w:cstheme="minorHAnsi"/>
        </w:rPr>
        <w:t>Risques liés au changement climatique</w:t>
      </w:r>
      <w:r w:rsidR="00A859BD" w:rsidRPr="00C84773">
        <w:rPr>
          <w:rFonts w:cstheme="minorHAnsi"/>
        </w:rPr>
        <w:t xml:space="preserve"> (</w:t>
      </w:r>
      <w:r w:rsidR="00A859BD" w:rsidRPr="00C84773">
        <w:rPr>
          <w:rFonts w:cstheme="minorHAnsi"/>
          <w:i/>
          <w:iCs/>
        </w:rPr>
        <w:t xml:space="preserve">se référer à l’analyse nationale du « paysage climatique pour les enfants » </w:t>
      </w:r>
      <w:r w:rsidR="007C6044" w:rsidRPr="00C84773">
        <w:rPr>
          <w:rFonts w:cstheme="minorHAnsi"/>
          <w:i/>
          <w:iCs/>
        </w:rPr>
        <w:t xml:space="preserve">au Maroc et </w:t>
      </w:r>
      <w:r w:rsidR="009F3347" w:rsidRPr="00C84773">
        <w:rPr>
          <w:rFonts w:cstheme="minorHAnsi"/>
          <w:i/>
          <w:iCs/>
        </w:rPr>
        <w:t>au</w:t>
      </w:r>
      <w:r w:rsidR="007C6044" w:rsidRPr="00C84773">
        <w:rPr>
          <w:rFonts w:cstheme="minorHAnsi"/>
          <w:i/>
          <w:iCs/>
        </w:rPr>
        <w:t xml:space="preserve"> rapport mondial « Des progrès menacés : Les conséquences des changements climatiques sur la santé et le bien-être des enfants »</w:t>
      </w:r>
      <w:r w:rsidR="0083683D" w:rsidRPr="00C84773">
        <w:rPr>
          <w:rStyle w:val="FootnoteReference"/>
          <w:rFonts w:cstheme="minorHAnsi"/>
          <w:i/>
          <w:iCs/>
        </w:rPr>
        <w:footnoteReference w:id="7"/>
      </w:r>
      <w:r w:rsidR="00A859BD" w:rsidRPr="00C84773">
        <w:rPr>
          <w:rFonts w:cstheme="minorHAnsi"/>
        </w:rPr>
        <w:t>)</w:t>
      </w:r>
      <w:r w:rsidR="009F3347" w:rsidRPr="00C84773">
        <w:rPr>
          <w:rFonts w:cstheme="minorHAnsi"/>
        </w:rPr>
        <w:t xml:space="preserve"> </w:t>
      </w:r>
      <w:r w:rsidRPr="00C84773">
        <w:rPr>
          <w:rFonts w:cstheme="minorHAnsi"/>
        </w:rPr>
        <w:t xml:space="preserve">: stress thermique, inondations et/ou précipitations excessives, tempêtes, sécheresse, évolution des maladies, incendies de forêt </w:t>
      </w:r>
    </w:p>
    <w:p w14:paraId="55E18FA6" w14:textId="523C26A7" w:rsidR="00DB4B75" w:rsidRPr="00C84773" w:rsidRDefault="00DB4B75" w:rsidP="00046316">
      <w:pPr>
        <w:spacing w:after="120"/>
        <w:jc w:val="both"/>
        <w:rPr>
          <w:rFonts w:cstheme="minorHAnsi"/>
          <w:b/>
          <w:bCs/>
        </w:rPr>
      </w:pPr>
      <w:r w:rsidRPr="00C84773">
        <w:rPr>
          <w:rFonts w:cstheme="minorHAnsi"/>
          <w:b/>
          <w:bCs/>
        </w:rPr>
        <w:t>4. Cartographie et analyse des parties prenantes et des partenariats</w:t>
      </w:r>
      <w:r w:rsidR="00AC4585" w:rsidRPr="00C84773">
        <w:rPr>
          <w:rFonts w:cstheme="minorHAnsi"/>
          <w:b/>
          <w:bCs/>
        </w:rPr>
        <w:t> :</w:t>
      </w:r>
    </w:p>
    <w:p w14:paraId="4950AD4B" w14:textId="7011C66B" w:rsidR="00DB4B75" w:rsidRPr="00C84773" w:rsidRDefault="00DB4B75" w:rsidP="00046316">
      <w:pPr>
        <w:pStyle w:val="ListParagraph"/>
        <w:numPr>
          <w:ilvl w:val="0"/>
          <w:numId w:val="37"/>
        </w:numPr>
        <w:spacing w:after="120" w:line="240" w:lineRule="auto"/>
        <w:jc w:val="both"/>
        <w:rPr>
          <w:rFonts w:cstheme="minorHAnsi"/>
        </w:rPr>
      </w:pPr>
      <w:r w:rsidRPr="00C84773">
        <w:rPr>
          <w:rFonts w:cstheme="minorHAnsi"/>
        </w:rPr>
        <w:t xml:space="preserve">Arrangements institutionnels et mécanisme de coordination : aperçu des principaux organismes gouvernementaux et parties prenantes engagés ou devant participer à la </w:t>
      </w:r>
      <w:r w:rsidR="00BB7258" w:rsidRPr="00C84773">
        <w:rPr>
          <w:rFonts w:cstheme="minorHAnsi"/>
        </w:rPr>
        <w:t>SEE</w:t>
      </w:r>
      <w:r w:rsidRPr="00C84773">
        <w:rPr>
          <w:rFonts w:cstheme="minorHAnsi"/>
        </w:rPr>
        <w:t xml:space="preserve"> </w:t>
      </w:r>
    </w:p>
    <w:p w14:paraId="3714F5DB" w14:textId="7FAA8440" w:rsidR="00DB4B75" w:rsidRPr="00C84773" w:rsidRDefault="00DB4B75" w:rsidP="00046316">
      <w:pPr>
        <w:pStyle w:val="ListParagraph"/>
        <w:numPr>
          <w:ilvl w:val="0"/>
          <w:numId w:val="37"/>
        </w:numPr>
        <w:spacing w:after="120" w:line="240" w:lineRule="auto"/>
        <w:jc w:val="both"/>
        <w:rPr>
          <w:rFonts w:cstheme="minorHAnsi"/>
        </w:rPr>
      </w:pPr>
      <w:r w:rsidRPr="00C84773">
        <w:rPr>
          <w:rFonts w:cstheme="minorHAnsi"/>
        </w:rPr>
        <w:t xml:space="preserve">Toutes les organisations de la société civile existantes (ONG, universités, associations professionnelles) engagées dans </w:t>
      </w:r>
      <w:r w:rsidR="00A859BD" w:rsidRPr="00C84773">
        <w:rPr>
          <w:rFonts w:cstheme="minorHAnsi"/>
        </w:rPr>
        <w:t>la</w:t>
      </w:r>
      <w:r w:rsidR="00BB7258" w:rsidRPr="00C84773">
        <w:rPr>
          <w:rFonts w:cstheme="minorHAnsi"/>
        </w:rPr>
        <w:t xml:space="preserve"> SEE</w:t>
      </w:r>
    </w:p>
    <w:p w14:paraId="7491116B" w14:textId="7E0275A9" w:rsidR="00DB4B75" w:rsidRPr="00C84773" w:rsidRDefault="00DB4B75" w:rsidP="00046316">
      <w:pPr>
        <w:pStyle w:val="ListParagraph"/>
        <w:numPr>
          <w:ilvl w:val="0"/>
          <w:numId w:val="37"/>
        </w:numPr>
        <w:spacing w:after="120" w:line="240" w:lineRule="auto"/>
        <w:jc w:val="both"/>
        <w:rPr>
          <w:rFonts w:cstheme="minorHAnsi"/>
        </w:rPr>
      </w:pPr>
      <w:r w:rsidRPr="00C84773">
        <w:rPr>
          <w:rFonts w:cstheme="minorHAnsi"/>
        </w:rPr>
        <w:t xml:space="preserve">Tout financement potentiel du secteur public ou privé </w:t>
      </w:r>
      <w:r w:rsidR="00A859BD" w:rsidRPr="00C84773">
        <w:rPr>
          <w:rFonts w:cstheme="minorHAnsi"/>
        </w:rPr>
        <w:t>pour la S</w:t>
      </w:r>
      <w:r w:rsidR="00BB7258" w:rsidRPr="00C84773">
        <w:rPr>
          <w:rFonts w:cstheme="minorHAnsi"/>
        </w:rPr>
        <w:t>EE</w:t>
      </w:r>
    </w:p>
    <w:p w14:paraId="2D6694A1" w14:textId="27473C96" w:rsidR="00DB4B75" w:rsidRPr="00C84773" w:rsidRDefault="00DB4B75" w:rsidP="00046316">
      <w:pPr>
        <w:spacing w:after="120"/>
        <w:jc w:val="both"/>
        <w:rPr>
          <w:rFonts w:cstheme="minorHAnsi"/>
          <w:b/>
          <w:bCs/>
        </w:rPr>
      </w:pPr>
      <w:r w:rsidRPr="00C84773">
        <w:rPr>
          <w:rFonts w:cstheme="minorHAnsi"/>
          <w:b/>
          <w:bCs/>
        </w:rPr>
        <w:t xml:space="preserve">5. Résumé des programmes, politiques, cadres et initiatives existants en matière de Santé </w:t>
      </w:r>
      <w:r w:rsidR="00AC4585" w:rsidRPr="00C84773">
        <w:rPr>
          <w:rFonts w:cstheme="minorHAnsi"/>
          <w:b/>
          <w:bCs/>
        </w:rPr>
        <w:t>E</w:t>
      </w:r>
      <w:r w:rsidRPr="00C84773">
        <w:rPr>
          <w:rFonts w:cstheme="minorHAnsi"/>
          <w:b/>
          <w:bCs/>
        </w:rPr>
        <w:t>nvironnementale des Enfants</w:t>
      </w:r>
    </w:p>
    <w:p w14:paraId="6C2CDE98" w14:textId="0D330ADA" w:rsidR="00DB4B75" w:rsidRPr="00C84773" w:rsidRDefault="00DB4B75" w:rsidP="00046316">
      <w:pPr>
        <w:spacing w:after="120"/>
        <w:jc w:val="both"/>
        <w:rPr>
          <w:rFonts w:cstheme="minorHAnsi"/>
        </w:rPr>
      </w:pPr>
      <w:r w:rsidRPr="00C84773">
        <w:rPr>
          <w:rFonts w:cstheme="minorHAnsi"/>
          <w:b/>
          <w:bCs/>
        </w:rPr>
        <w:t>6. Gouvernance environnementale nationale et mondiale</w:t>
      </w:r>
      <w:r w:rsidR="00AC4585" w:rsidRPr="00C84773">
        <w:rPr>
          <w:rFonts w:cstheme="minorHAnsi"/>
          <w:b/>
          <w:bCs/>
        </w:rPr>
        <w:t xml:space="preserve"> : </w:t>
      </w:r>
      <w:r w:rsidRPr="00C84773">
        <w:rPr>
          <w:rFonts w:cstheme="minorHAnsi"/>
        </w:rPr>
        <w:t xml:space="preserve">indiquer si </w:t>
      </w:r>
      <w:r w:rsidR="00AC4585" w:rsidRPr="00C84773">
        <w:rPr>
          <w:rFonts w:cstheme="minorHAnsi"/>
        </w:rPr>
        <w:t>le</w:t>
      </w:r>
      <w:r w:rsidRPr="00C84773">
        <w:rPr>
          <w:rFonts w:cstheme="minorHAnsi"/>
        </w:rPr>
        <w:t xml:space="preserve"> pays est signataire de l'un des principaux cadres de gouvernance mondiale pour l'action climatique et environnementale </w:t>
      </w:r>
      <w:r w:rsidR="00AC4585" w:rsidRPr="00C84773">
        <w:rPr>
          <w:rFonts w:cstheme="minorHAnsi"/>
        </w:rPr>
        <w:t xml:space="preserve">et </w:t>
      </w:r>
      <w:r w:rsidRPr="00C84773">
        <w:rPr>
          <w:rFonts w:cstheme="minorHAnsi"/>
        </w:rPr>
        <w:t xml:space="preserve">toute législation et réglementation nationale critique </w:t>
      </w:r>
      <w:r w:rsidR="00771C55" w:rsidRPr="00C84773">
        <w:rPr>
          <w:rFonts w:cstheme="minorHAnsi"/>
        </w:rPr>
        <w:t>liée à cette thématique</w:t>
      </w:r>
      <w:r w:rsidR="00046316" w:rsidRPr="00C84773">
        <w:rPr>
          <w:rFonts w:cstheme="minorHAnsi"/>
        </w:rPr>
        <w:t>.</w:t>
      </w:r>
    </w:p>
    <w:p w14:paraId="708C546F" w14:textId="0D16A291" w:rsidR="009C22FC" w:rsidRPr="00C84773" w:rsidRDefault="00DB4B75" w:rsidP="00046316">
      <w:pPr>
        <w:spacing w:after="120" w:line="240" w:lineRule="auto"/>
        <w:jc w:val="both"/>
        <w:rPr>
          <w:rFonts w:cstheme="minorHAnsi"/>
          <w:b/>
          <w:bCs/>
        </w:rPr>
      </w:pPr>
      <w:r w:rsidRPr="00C84773">
        <w:rPr>
          <w:rFonts w:cstheme="minorHAnsi"/>
          <w:b/>
          <w:bCs/>
        </w:rPr>
        <w:lastRenderedPageBreak/>
        <w:t>7. Conclusion et recommandations</w:t>
      </w:r>
      <w:r w:rsidR="00A859BD" w:rsidRPr="00C84773">
        <w:rPr>
          <w:rFonts w:cstheme="minorHAnsi"/>
          <w:b/>
          <w:bCs/>
        </w:rPr>
        <w:t xml:space="preserve"> : </w:t>
      </w:r>
      <w:r w:rsidRPr="00C84773">
        <w:rPr>
          <w:rFonts w:cstheme="minorHAnsi"/>
        </w:rPr>
        <w:t>identifier les lacunes en matière de données ou de preuves</w:t>
      </w:r>
      <w:r w:rsidR="00DF1DE4" w:rsidRPr="00C84773">
        <w:rPr>
          <w:rFonts w:cstheme="minorHAnsi"/>
        </w:rPr>
        <w:t>,</w:t>
      </w:r>
      <w:r w:rsidRPr="00C84773">
        <w:rPr>
          <w:rFonts w:cstheme="minorHAnsi"/>
        </w:rPr>
        <w:t xml:space="preserve"> qui doivent être comblées pour générer une meilleure image de l</w:t>
      </w:r>
      <w:r w:rsidR="00A859BD" w:rsidRPr="00C84773">
        <w:rPr>
          <w:rFonts w:cstheme="minorHAnsi"/>
        </w:rPr>
        <w:t xml:space="preserve">a </w:t>
      </w:r>
      <w:r w:rsidR="00DF1DE4" w:rsidRPr="00C84773">
        <w:rPr>
          <w:rFonts w:cstheme="minorHAnsi"/>
        </w:rPr>
        <w:t xml:space="preserve">SEE, et </w:t>
      </w:r>
      <w:r w:rsidRPr="00C84773">
        <w:rPr>
          <w:rFonts w:cstheme="minorHAnsi"/>
        </w:rPr>
        <w:t xml:space="preserve">les </w:t>
      </w:r>
      <w:r w:rsidR="00DF1DE4" w:rsidRPr="00C84773">
        <w:rPr>
          <w:rFonts w:cstheme="minorHAnsi"/>
        </w:rPr>
        <w:t>priorités stratégiques et programmatiques à moyen et long-terme lié à la santé environnementale et climatique des enfants.</w:t>
      </w:r>
    </w:p>
    <w:p w14:paraId="5AA030AB" w14:textId="313E76A9" w:rsidR="000066ED" w:rsidRPr="00C84773" w:rsidRDefault="000066ED" w:rsidP="004F6FC0">
      <w:pPr>
        <w:autoSpaceDE w:val="0"/>
        <w:autoSpaceDN w:val="0"/>
        <w:adjustRightInd w:val="0"/>
        <w:spacing w:after="0" w:line="276" w:lineRule="auto"/>
        <w:jc w:val="both"/>
        <w:rPr>
          <w:rFonts w:cstheme="minorHAnsi"/>
        </w:rPr>
      </w:pPr>
    </w:p>
    <w:p w14:paraId="4E7803E2" w14:textId="1140E05E" w:rsidR="000066ED" w:rsidRPr="00C84773" w:rsidRDefault="00F55C76" w:rsidP="004F6FC0">
      <w:pPr>
        <w:shd w:val="clear" w:color="auto" w:fill="9CC2E5"/>
        <w:spacing w:after="0" w:line="276" w:lineRule="auto"/>
        <w:jc w:val="both"/>
        <w:rPr>
          <w:rFonts w:eastAsia="Times New Roman" w:cstheme="minorHAnsi"/>
          <w:b/>
          <w:bCs/>
          <w:lang w:eastAsia="fr-FR"/>
        </w:rPr>
      </w:pPr>
      <w:r w:rsidRPr="00C84773">
        <w:rPr>
          <w:rFonts w:eastAsia="Times New Roman" w:cstheme="minorHAnsi"/>
          <w:b/>
          <w:bCs/>
          <w:lang w:eastAsia="fr-FR"/>
        </w:rPr>
        <w:t>6</w:t>
      </w:r>
      <w:r w:rsidR="000066ED" w:rsidRPr="00C84773">
        <w:rPr>
          <w:rFonts w:eastAsia="Times New Roman" w:cstheme="minorHAnsi"/>
          <w:b/>
          <w:bCs/>
          <w:lang w:eastAsia="fr-FR"/>
        </w:rPr>
        <w:t>. Durée de la consultation et calendrier de paiement</w:t>
      </w:r>
    </w:p>
    <w:p w14:paraId="722FE81A" w14:textId="10F47995" w:rsidR="00812EE8" w:rsidRPr="00C84773" w:rsidRDefault="000066ED" w:rsidP="004F6FC0">
      <w:pPr>
        <w:spacing w:before="240" w:line="276" w:lineRule="auto"/>
        <w:jc w:val="both"/>
        <w:rPr>
          <w:rFonts w:cstheme="minorHAnsi"/>
        </w:rPr>
      </w:pPr>
      <w:r w:rsidRPr="00C84773">
        <w:rPr>
          <w:rFonts w:cstheme="minorHAnsi"/>
        </w:rPr>
        <w:t>La durée de la consultation est estimée à</w:t>
      </w:r>
      <w:r w:rsidR="00046316" w:rsidRPr="00C84773">
        <w:rPr>
          <w:rFonts w:cstheme="minorHAnsi"/>
        </w:rPr>
        <w:t xml:space="preserve"> 3</w:t>
      </w:r>
      <w:r w:rsidR="009F3347" w:rsidRPr="00C84773">
        <w:rPr>
          <w:rFonts w:cstheme="minorHAnsi"/>
        </w:rPr>
        <w:t>8</w:t>
      </w:r>
      <w:r w:rsidRPr="00C84773">
        <w:rPr>
          <w:rFonts w:cstheme="minorHAnsi"/>
          <w:b/>
          <w:bCs/>
        </w:rPr>
        <w:t xml:space="preserve"> </w:t>
      </w:r>
      <w:r w:rsidRPr="00C84773">
        <w:rPr>
          <w:rFonts w:cstheme="minorHAnsi"/>
        </w:rPr>
        <w:t xml:space="preserve">jours ouvrables sur une période </w:t>
      </w:r>
      <w:r w:rsidR="003A0BD6" w:rsidRPr="00C84773">
        <w:rPr>
          <w:rFonts w:cstheme="minorHAnsi"/>
        </w:rPr>
        <w:t xml:space="preserve">maximale </w:t>
      </w:r>
      <w:r w:rsidRPr="00C84773">
        <w:rPr>
          <w:rFonts w:cstheme="minorHAnsi"/>
        </w:rPr>
        <w:t>de</w:t>
      </w:r>
      <w:r w:rsidR="008D6D15" w:rsidRPr="00C84773">
        <w:rPr>
          <w:rFonts w:cstheme="minorHAnsi"/>
        </w:rPr>
        <w:t xml:space="preserve"> </w:t>
      </w:r>
      <w:r w:rsidR="00046316" w:rsidRPr="00C84773">
        <w:rPr>
          <w:rFonts w:cstheme="minorHAnsi"/>
        </w:rPr>
        <w:t>4</w:t>
      </w:r>
      <w:r w:rsidR="00812EE8" w:rsidRPr="00C84773">
        <w:rPr>
          <w:rFonts w:cstheme="minorHAnsi"/>
        </w:rPr>
        <w:t xml:space="preserve"> </w:t>
      </w:r>
      <w:r w:rsidRPr="00C84773">
        <w:rPr>
          <w:rFonts w:cstheme="minorHAnsi"/>
        </w:rPr>
        <w:t xml:space="preserve">mois. </w:t>
      </w:r>
      <w:r w:rsidR="00812EE8" w:rsidRPr="00C84773">
        <w:rPr>
          <w:rFonts w:cstheme="minorHAnsi"/>
        </w:rPr>
        <w:t>Tous les livrables devront être écrits en français et fournis sous forme électronique.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1557"/>
        <w:gridCol w:w="1623"/>
        <w:gridCol w:w="1424"/>
      </w:tblGrid>
      <w:tr w:rsidR="009104CC" w:rsidRPr="00C84773" w14:paraId="0D57D086" w14:textId="77777777" w:rsidTr="00A859BD">
        <w:trPr>
          <w:trHeight w:val="432"/>
        </w:trPr>
        <w:tc>
          <w:tcPr>
            <w:tcW w:w="4458" w:type="dxa"/>
            <w:shd w:val="clear" w:color="auto" w:fill="D9D9D9"/>
            <w:vAlign w:val="center"/>
          </w:tcPr>
          <w:p w14:paraId="25AACBFC" w14:textId="77777777" w:rsidR="009104CC" w:rsidRPr="00C84773" w:rsidRDefault="009104CC" w:rsidP="004F6FC0">
            <w:pPr>
              <w:spacing w:after="0" w:line="240" w:lineRule="auto"/>
              <w:jc w:val="both"/>
              <w:rPr>
                <w:rFonts w:cstheme="minorHAnsi"/>
                <w:b/>
                <w:bCs/>
              </w:rPr>
            </w:pPr>
            <w:bookmarkStart w:id="0" w:name="_Hlk183072059"/>
            <w:r w:rsidRPr="00C84773">
              <w:rPr>
                <w:rFonts w:cstheme="minorHAnsi"/>
                <w:b/>
                <w:bCs/>
              </w:rPr>
              <w:t>Livrable</w:t>
            </w:r>
          </w:p>
        </w:tc>
        <w:tc>
          <w:tcPr>
            <w:tcW w:w="1557" w:type="dxa"/>
            <w:shd w:val="clear" w:color="auto" w:fill="D9D9D9"/>
            <w:vAlign w:val="center"/>
          </w:tcPr>
          <w:p w14:paraId="24605C03" w14:textId="77777777" w:rsidR="009104CC" w:rsidRPr="00C84773" w:rsidRDefault="009104CC" w:rsidP="00684060">
            <w:pPr>
              <w:spacing w:after="0" w:line="240" w:lineRule="auto"/>
              <w:jc w:val="center"/>
              <w:rPr>
                <w:rFonts w:cstheme="minorHAnsi"/>
                <w:b/>
                <w:bCs/>
              </w:rPr>
            </w:pPr>
            <w:r w:rsidRPr="00C84773">
              <w:rPr>
                <w:rFonts w:cstheme="minorHAnsi"/>
                <w:b/>
                <w:bCs/>
              </w:rPr>
              <w:t>Nombre de jours</w:t>
            </w:r>
          </w:p>
        </w:tc>
        <w:tc>
          <w:tcPr>
            <w:tcW w:w="1623" w:type="dxa"/>
            <w:shd w:val="clear" w:color="auto" w:fill="D9D9D9"/>
            <w:vAlign w:val="center"/>
          </w:tcPr>
          <w:p w14:paraId="1FB6B449" w14:textId="77777777" w:rsidR="009104CC" w:rsidRPr="00C84773" w:rsidRDefault="009104CC" w:rsidP="00684060">
            <w:pPr>
              <w:spacing w:after="0" w:line="240" w:lineRule="auto"/>
              <w:jc w:val="center"/>
              <w:rPr>
                <w:rFonts w:cstheme="minorHAnsi"/>
                <w:b/>
                <w:bCs/>
              </w:rPr>
            </w:pPr>
            <w:r w:rsidRPr="00C84773">
              <w:rPr>
                <w:rFonts w:cstheme="minorHAnsi"/>
                <w:b/>
                <w:bCs/>
              </w:rPr>
              <w:t>Période</w:t>
            </w:r>
          </w:p>
        </w:tc>
        <w:tc>
          <w:tcPr>
            <w:tcW w:w="1424" w:type="dxa"/>
            <w:shd w:val="clear" w:color="auto" w:fill="D9D9D9"/>
            <w:vAlign w:val="center"/>
          </w:tcPr>
          <w:p w14:paraId="3F2F1C27" w14:textId="77777777" w:rsidR="009104CC" w:rsidRPr="00C84773" w:rsidRDefault="009104CC" w:rsidP="00684060">
            <w:pPr>
              <w:spacing w:after="0" w:line="240" w:lineRule="auto"/>
              <w:jc w:val="center"/>
              <w:rPr>
                <w:rFonts w:cstheme="minorHAnsi"/>
                <w:b/>
                <w:bCs/>
              </w:rPr>
            </w:pPr>
            <w:r w:rsidRPr="00C84773">
              <w:rPr>
                <w:rFonts w:cstheme="minorHAnsi"/>
                <w:b/>
                <w:bCs/>
              </w:rPr>
              <w:t>% du paiement</w:t>
            </w:r>
          </w:p>
        </w:tc>
      </w:tr>
      <w:tr w:rsidR="00684060" w:rsidRPr="00C84773" w14:paraId="2C795397" w14:textId="77777777" w:rsidTr="00A859BD">
        <w:trPr>
          <w:trHeight w:val="432"/>
        </w:trPr>
        <w:tc>
          <w:tcPr>
            <w:tcW w:w="4458" w:type="dxa"/>
            <w:shd w:val="clear" w:color="auto" w:fill="auto"/>
            <w:vAlign w:val="center"/>
          </w:tcPr>
          <w:p w14:paraId="7CE75BAC" w14:textId="29FA8FC3" w:rsidR="00684060" w:rsidRPr="00C84773" w:rsidRDefault="00684060" w:rsidP="004F6FC0">
            <w:pPr>
              <w:spacing w:after="0" w:line="240" w:lineRule="auto"/>
              <w:jc w:val="both"/>
              <w:rPr>
                <w:rFonts w:cstheme="minorHAnsi"/>
              </w:rPr>
            </w:pPr>
            <w:r w:rsidRPr="00C84773">
              <w:rPr>
                <w:rFonts w:cstheme="minorHAnsi"/>
              </w:rPr>
              <w:t>Livrable 1 : Note conceptuelle détaillée</w:t>
            </w:r>
          </w:p>
        </w:tc>
        <w:tc>
          <w:tcPr>
            <w:tcW w:w="1557" w:type="dxa"/>
            <w:shd w:val="clear" w:color="auto" w:fill="auto"/>
            <w:vAlign w:val="center"/>
          </w:tcPr>
          <w:p w14:paraId="52B4E220" w14:textId="66AA3373" w:rsidR="00684060" w:rsidRPr="00C84773" w:rsidRDefault="009B7590" w:rsidP="00684060">
            <w:pPr>
              <w:spacing w:after="0" w:line="240" w:lineRule="auto"/>
              <w:jc w:val="center"/>
              <w:rPr>
                <w:rFonts w:cstheme="minorHAnsi"/>
              </w:rPr>
            </w:pPr>
            <w:r w:rsidRPr="00C84773">
              <w:rPr>
                <w:rFonts w:cstheme="minorHAnsi"/>
              </w:rPr>
              <w:t>4</w:t>
            </w:r>
          </w:p>
        </w:tc>
        <w:tc>
          <w:tcPr>
            <w:tcW w:w="1623" w:type="dxa"/>
            <w:shd w:val="clear" w:color="auto" w:fill="auto"/>
            <w:vAlign w:val="center"/>
          </w:tcPr>
          <w:p w14:paraId="0053BD38" w14:textId="61668115" w:rsidR="00684060" w:rsidRPr="00C84773" w:rsidRDefault="00684060" w:rsidP="00684060">
            <w:pPr>
              <w:spacing w:after="0" w:line="240" w:lineRule="auto"/>
              <w:jc w:val="center"/>
              <w:rPr>
                <w:rFonts w:cstheme="minorHAnsi"/>
              </w:rPr>
            </w:pPr>
            <w:r w:rsidRPr="00C84773">
              <w:rPr>
                <w:rFonts w:cstheme="minorHAnsi"/>
              </w:rPr>
              <w:t>Janvier-février 2025</w:t>
            </w:r>
          </w:p>
        </w:tc>
        <w:tc>
          <w:tcPr>
            <w:tcW w:w="1424" w:type="dxa"/>
            <w:vMerge w:val="restart"/>
            <w:vAlign w:val="center"/>
          </w:tcPr>
          <w:p w14:paraId="278ECDC9" w14:textId="4BECD3C8" w:rsidR="00684060" w:rsidRPr="00C84773" w:rsidRDefault="00684060" w:rsidP="00684060">
            <w:pPr>
              <w:spacing w:after="0" w:line="240" w:lineRule="auto"/>
              <w:jc w:val="center"/>
              <w:rPr>
                <w:rFonts w:cstheme="minorHAnsi"/>
              </w:rPr>
            </w:pPr>
            <w:r w:rsidRPr="00C84773">
              <w:rPr>
                <w:rFonts w:cstheme="minorHAnsi"/>
              </w:rPr>
              <w:t>70%</w:t>
            </w:r>
          </w:p>
        </w:tc>
      </w:tr>
      <w:tr w:rsidR="00684060" w:rsidRPr="00C84773" w14:paraId="47FA96D0" w14:textId="77777777" w:rsidTr="00A859BD">
        <w:trPr>
          <w:trHeight w:val="432"/>
        </w:trPr>
        <w:tc>
          <w:tcPr>
            <w:tcW w:w="4458" w:type="dxa"/>
            <w:shd w:val="clear" w:color="auto" w:fill="auto"/>
            <w:vAlign w:val="center"/>
          </w:tcPr>
          <w:p w14:paraId="3770D65E" w14:textId="1BE84ADC" w:rsidR="00684060" w:rsidRPr="00C84773" w:rsidRDefault="00684060" w:rsidP="004F6FC0">
            <w:pPr>
              <w:spacing w:after="0" w:line="240" w:lineRule="auto"/>
              <w:jc w:val="both"/>
              <w:rPr>
                <w:rFonts w:cstheme="minorHAnsi"/>
              </w:rPr>
            </w:pPr>
            <w:r w:rsidRPr="00C84773">
              <w:rPr>
                <w:rFonts w:cstheme="minorHAnsi"/>
              </w:rPr>
              <w:t>Livrable 2 : Rapport préliminaire de l’analyse SEE</w:t>
            </w:r>
          </w:p>
        </w:tc>
        <w:tc>
          <w:tcPr>
            <w:tcW w:w="1557" w:type="dxa"/>
            <w:shd w:val="clear" w:color="auto" w:fill="auto"/>
            <w:vAlign w:val="center"/>
          </w:tcPr>
          <w:p w14:paraId="7EDCA12C" w14:textId="2AF06F93" w:rsidR="00684060" w:rsidRPr="00C84773" w:rsidRDefault="009B7590" w:rsidP="00684060">
            <w:pPr>
              <w:spacing w:after="0" w:line="240" w:lineRule="auto"/>
              <w:jc w:val="center"/>
              <w:rPr>
                <w:rFonts w:cstheme="minorHAnsi"/>
              </w:rPr>
            </w:pPr>
            <w:r w:rsidRPr="00C84773">
              <w:rPr>
                <w:rFonts w:cstheme="minorHAnsi"/>
              </w:rPr>
              <w:t>28</w:t>
            </w:r>
          </w:p>
        </w:tc>
        <w:tc>
          <w:tcPr>
            <w:tcW w:w="1623" w:type="dxa"/>
            <w:shd w:val="clear" w:color="auto" w:fill="auto"/>
            <w:vAlign w:val="center"/>
          </w:tcPr>
          <w:p w14:paraId="71200AB2" w14:textId="378BE1BB" w:rsidR="00684060" w:rsidRPr="00C84773" w:rsidRDefault="00684060" w:rsidP="00684060">
            <w:pPr>
              <w:spacing w:after="0" w:line="240" w:lineRule="auto"/>
              <w:jc w:val="center"/>
              <w:rPr>
                <w:rFonts w:cstheme="minorHAnsi"/>
              </w:rPr>
            </w:pPr>
            <w:r w:rsidRPr="00C84773">
              <w:rPr>
                <w:rFonts w:cstheme="minorHAnsi"/>
              </w:rPr>
              <w:t>Février-avril 2025</w:t>
            </w:r>
          </w:p>
        </w:tc>
        <w:tc>
          <w:tcPr>
            <w:tcW w:w="1424" w:type="dxa"/>
            <w:vMerge/>
            <w:vAlign w:val="center"/>
          </w:tcPr>
          <w:p w14:paraId="75473649" w14:textId="2D1EFE39" w:rsidR="00684060" w:rsidRPr="00C84773" w:rsidRDefault="00684060" w:rsidP="00684060">
            <w:pPr>
              <w:spacing w:after="0" w:line="240" w:lineRule="auto"/>
              <w:jc w:val="center"/>
              <w:rPr>
                <w:rFonts w:cstheme="minorHAnsi"/>
              </w:rPr>
            </w:pPr>
          </w:p>
        </w:tc>
      </w:tr>
      <w:tr w:rsidR="00684060" w:rsidRPr="00C84773" w14:paraId="6A34B730" w14:textId="77777777" w:rsidTr="00A859BD">
        <w:trPr>
          <w:trHeight w:val="432"/>
        </w:trPr>
        <w:tc>
          <w:tcPr>
            <w:tcW w:w="4458" w:type="dxa"/>
            <w:shd w:val="clear" w:color="auto" w:fill="auto"/>
            <w:vAlign w:val="center"/>
          </w:tcPr>
          <w:p w14:paraId="737892FC" w14:textId="3A775A1A" w:rsidR="00684060" w:rsidRPr="00C84773" w:rsidRDefault="00684060" w:rsidP="004F6FC0">
            <w:pPr>
              <w:spacing w:after="0" w:line="240" w:lineRule="auto"/>
              <w:jc w:val="both"/>
              <w:rPr>
                <w:rFonts w:cstheme="minorHAnsi"/>
              </w:rPr>
            </w:pPr>
            <w:r w:rsidRPr="00C84773">
              <w:rPr>
                <w:rFonts w:cstheme="minorHAnsi"/>
              </w:rPr>
              <w:t xml:space="preserve">Livrable 3 : Rapport de déroulement de l’atelier de </w:t>
            </w:r>
            <w:r w:rsidR="00046316" w:rsidRPr="00C84773">
              <w:rPr>
                <w:rFonts w:cstheme="minorHAnsi"/>
              </w:rPr>
              <w:t xml:space="preserve">revue et de </w:t>
            </w:r>
            <w:r w:rsidRPr="00C84773">
              <w:rPr>
                <w:rFonts w:cstheme="minorHAnsi"/>
              </w:rPr>
              <w:t>validation du rapport</w:t>
            </w:r>
          </w:p>
        </w:tc>
        <w:tc>
          <w:tcPr>
            <w:tcW w:w="1557" w:type="dxa"/>
            <w:shd w:val="clear" w:color="auto" w:fill="auto"/>
            <w:vAlign w:val="center"/>
          </w:tcPr>
          <w:p w14:paraId="73ABBD30" w14:textId="1CF83B3B" w:rsidR="00684060" w:rsidRPr="00C84773" w:rsidRDefault="00684060" w:rsidP="00684060">
            <w:pPr>
              <w:spacing w:after="0" w:line="240" w:lineRule="auto"/>
              <w:jc w:val="center"/>
              <w:rPr>
                <w:rFonts w:cstheme="minorHAnsi"/>
              </w:rPr>
            </w:pPr>
            <w:r w:rsidRPr="00C84773">
              <w:rPr>
                <w:rFonts w:cstheme="minorHAnsi"/>
              </w:rPr>
              <w:t>4</w:t>
            </w:r>
          </w:p>
        </w:tc>
        <w:tc>
          <w:tcPr>
            <w:tcW w:w="1623" w:type="dxa"/>
            <w:shd w:val="clear" w:color="auto" w:fill="auto"/>
            <w:vAlign w:val="center"/>
          </w:tcPr>
          <w:p w14:paraId="1E85CD28" w14:textId="49D012B9" w:rsidR="00684060" w:rsidRPr="00C84773" w:rsidRDefault="00684060" w:rsidP="00684060">
            <w:pPr>
              <w:spacing w:after="0" w:line="240" w:lineRule="auto"/>
              <w:jc w:val="center"/>
              <w:rPr>
                <w:rFonts w:cstheme="minorHAnsi"/>
              </w:rPr>
            </w:pPr>
            <w:r w:rsidRPr="00C84773">
              <w:rPr>
                <w:rFonts w:cstheme="minorHAnsi"/>
              </w:rPr>
              <w:t>Mai 2025</w:t>
            </w:r>
          </w:p>
        </w:tc>
        <w:tc>
          <w:tcPr>
            <w:tcW w:w="1424" w:type="dxa"/>
            <w:vMerge w:val="restart"/>
            <w:vAlign w:val="center"/>
          </w:tcPr>
          <w:p w14:paraId="0E1C2E9B" w14:textId="208C81B3" w:rsidR="00684060" w:rsidRPr="00C84773" w:rsidRDefault="00684060" w:rsidP="00684060">
            <w:pPr>
              <w:spacing w:after="0" w:line="240" w:lineRule="auto"/>
              <w:jc w:val="center"/>
              <w:rPr>
                <w:rFonts w:cstheme="minorHAnsi"/>
              </w:rPr>
            </w:pPr>
            <w:r w:rsidRPr="00C84773">
              <w:rPr>
                <w:rFonts w:cstheme="minorHAnsi"/>
              </w:rPr>
              <w:t>30%</w:t>
            </w:r>
          </w:p>
        </w:tc>
      </w:tr>
      <w:tr w:rsidR="00684060" w:rsidRPr="00C84773" w14:paraId="7372E2DA" w14:textId="77777777" w:rsidTr="00A859BD">
        <w:trPr>
          <w:trHeight w:val="432"/>
        </w:trPr>
        <w:tc>
          <w:tcPr>
            <w:tcW w:w="4458" w:type="dxa"/>
            <w:shd w:val="clear" w:color="auto" w:fill="auto"/>
            <w:vAlign w:val="center"/>
          </w:tcPr>
          <w:p w14:paraId="0364A633" w14:textId="60533858" w:rsidR="00684060" w:rsidRPr="00C84773" w:rsidRDefault="00684060" w:rsidP="004F6FC0">
            <w:pPr>
              <w:spacing w:after="0" w:line="240" w:lineRule="auto"/>
              <w:jc w:val="both"/>
              <w:rPr>
                <w:rFonts w:cstheme="minorHAnsi"/>
              </w:rPr>
            </w:pPr>
            <w:r w:rsidRPr="00C84773">
              <w:rPr>
                <w:rFonts w:cstheme="minorHAnsi"/>
              </w:rPr>
              <w:t>Livrable 4 : Rapport final de l’analyse SEE</w:t>
            </w:r>
          </w:p>
        </w:tc>
        <w:tc>
          <w:tcPr>
            <w:tcW w:w="1557" w:type="dxa"/>
            <w:shd w:val="clear" w:color="auto" w:fill="auto"/>
            <w:vAlign w:val="center"/>
          </w:tcPr>
          <w:p w14:paraId="4748AC5F" w14:textId="4E4C8FE2" w:rsidR="00684060" w:rsidRPr="00C84773" w:rsidRDefault="009B7590" w:rsidP="00684060">
            <w:pPr>
              <w:spacing w:after="0" w:line="240" w:lineRule="auto"/>
              <w:jc w:val="center"/>
              <w:rPr>
                <w:rFonts w:cstheme="minorHAnsi"/>
              </w:rPr>
            </w:pPr>
            <w:r w:rsidRPr="00C84773">
              <w:rPr>
                <w:rFonts w:cstheme="minorHAnsi"/>
              </w:rPr>
              <w:t>2</w:t>
            </w:r>
          </w:p>
        </w:tc>
        <w:tc>
          <w:tcPr>
            <w:tcW w:w="1623" w:type="dxa"/>
            <w:shd w:val="clear" w:color="auto" w:fill="auto"/>
            <w:vAlign w:val="center"/>
          </w:tcPr>
          <w:p w14:paraId="4A099B0B" w14:textId="4AFF10EE" w:rsidR="00684060" w:rsidRPr="00C84773" w:rsidRDefault="00684060" w:rsidP="00684060">
            <w:pPr>
              <w:spacing w:after="0" w:line="240" w:lineRule="auto"/>
              <w:jc w:val="center"/>
              <w:rPr>
                <w:rFonts w:cstheme="minorHAnsi"/>
              </w:rPr>
            </w:pPr>
            <w:r w:rsidRPr="00C84773">
              <w:rPr>
                <w:rFonts w:cstheme="minorHAnsi"/>
              </w:rPr>
              <w:t>Mai 2025</w:t>
            </w:r>
          </w:p>
        </w:tc>
        <w:tc>
          <w:tcPr>
            <w:tcW w:w="1424" w:type="dxa"/>
            <w:vMerge/>
            <w:vAlign w:val="center"/>
          </w:tcPr>
          <w:p w14:paraId="6D8DC95D" w14:textId="77777777" w:rsidR="00684060" w:rsidRPr="00C84773" w:rsidRDefault="00684060" w:rsidP="00684060">
            <w:pPr>
              <w:spacing w:after="0" w:line="240" w:lineRule="auto"/>
              <w:jc w:val="center"/>
              <w:rPr>
                <w:rFonts w:cstheme="minorHAnsi"/>
              </w:rPr>
            </w:pPr>
          </w:p>
        </w:tc>
      </w:tr>
      <w:tr w:rsidR="009104CC" w:rsidRPr="00C84773" w14:paraId="04EA7785" w14:textId="77777777" w:rsidTr="00A859BD">
        <w:trPr>
          <w:trHeight w:val="432"/>
        </w:trPr>
        <w:tc>
          <w:tcPr>
            <w:tcW w:w="4458" w:type="dxa"/>
            <w:shd w:val="clear" w:color="auto" w:fill="D9D9D9"/>
            <w:vAlign w:val="center"/>
          </w:tcPr>
          <w:p w14:paraId="1975BEF5" w14:textId="77777777" w:rsidR="009104CC" w:rsidRPr="00C84773" w:rsidRDefault="009104CC" w:rsidP="004F6FC0">
            <w:pPr>
              <w:spacing w:after="0" w:line="240" w:lineRule="auto"/>
              <w:jc w:val="both"/>
              <w:rPr>
                <w:rFonts w:cstheme="minorHAnsi"/>
                <w:b/>
                <w:bCs/>
              </w:rPr>
            </w:pPr>
            <w:r w:rsidRPr="00C84773">
              <w:rPr>
                <w:rFonts w:cstheme="minorHAnsi"/>
                <w:b/>
                <w:bCs/>
              </w:rPr>
              <w:t>Total</w:t>
            </w:r>
          </w:p>
        </w:tc>
        <w:tc>
          <w:tcPr>
            <w:tcW w:w="1557" w:type="dxa"/>
            <w:shd w:val="clear" w:color="auto" w:fill="D9D9D9"/>
            <w:vAlign w:val="center"/>
          </w:tcPr>
          <w:p w14:paraId="552B76EC" w14:textId="7550EAA1" w:rsidR="009104CC" w:rsidRPr="00C84773" w:rsidRDefault="009B7590" w:rsidP="00684060">
            <w:pPr>
              <w:spacing w:after="0" w:line="240" w:lineRule="auto"/>
              <w:jc w:val="center"/>
              <w:rPr>
                <w:rFonts w:cstheme="minorHAnsi"/>
                <w:b/>
                <w:bCs/>
              </w:rPr>
            </w:pPr>
            <w:r w:rsidRPr="00C84773">
              <w:rPr>
                <w:rFonts w:cstheme="minorHAnsi"/>
                <w:b/>
                <w:bCs/>
              </w:rPr>
              <w:t>38</w:t>
            </w:r>
            <w:r w:rsidR="00684060" w:rsidRPr="00C84773">
              <w:rPr>
                <w:rFonts w:cstheme="minorHAnsi"/>
                <w:b/>
                <w:bCs/>
              </w:rPr>
              <w:t xml:space="preserve"> </w:t>
            </w:r>
            <w:r w:rsidR="009104CC" w:rsidRPr="00C84773">
              <w:rPr>
                <w:rFonts w:cstheme="minorHAnsi"/>
                <w:b/>
                <w:bCs/>
              </w:rPr>
              <w:t>jours</w:t>
            </w:r>
          </w:p>
        </w:tc>
        <w:tc>
          <w:tcPr>
            <w:tcW w:w="1623" w:type="dxa"/>
            <w:shd w:val="clear" w:color="auto" w:fill="D9D9D9"/>
            <w:vAlign w:val="center"/>
          </w:tcPr>
          <w:p w14:paraId="7F7E253B" w14:textId="77777777" w:rsidR="009104CC" w:rsidRPr="00C84773" w:rsidRDefault="009104CC" w:rsidP="00684060">
            <w:pPr>
              <w:spacing w:after="0" w:line="240" w:lineRule="auto"/>
              <w:jc w:val="center"/>
              <w:rPr>
                <w:rFonts w:cstheme="minorHAnsi"/>
                <w:b/>
                <w:bCs/>
              </w:rPr>
            </w:pPr>
          </w:p>
        </w:tc>
        <w:tc>
          <w:tcPr>
            <w:tcW w:w="1424" w:type="dxa"/>
            <w:shd w:val="clear" w:color="auto" w:fill="D9D9D9"/>
            <w:vAlign w:val="center"/>
          </w:tcPr>
          <w:p w14:paraId="25673F0C" w14:textId="77777777" w:rsidR="009104CC" w:rsidRPr="00C84773" w:rsidRDefault="009104CC" w:rsidP="00684060">
            <w:pPr>
              <w:spacing w:after="0" w:line="240" w:lineRule="auto"/>
              <w:jc w:val="center"/>
              <w:rPr>
                <w:rFonts w:cstheme="minorHAnsi"/>
                <w:b/>
                <w:bCs/>
              </w:rPr>
            </w:pPr>
            <w:r w:rsidRPr="00C84773">
              <w:rPr>
                <w:rFonts w:cstheme="minorHAnsi"/>
                <w:b/>
                <w:bCs/>
              </w:rPr>
              <w:t>100%</w:t>
            </w:r>
          </w:p>
        </w:tc>
      </w:tr>
      <w:bookmarkEnd w:id="0"/>
    </w:tbl>
    <w:p w14:paraId="55B776C0" w14:textId="77777777" w:rsidR="000066ED" w:rsidRPr="00C84773" w:rsidRDefault="000066ED" w:rsidP="004F6FC0">
      <w:pPr>
        <w:autoSpaceDE w:val="0"/>
        <w:autoSpaceDN w:val="0"/>
        <w:adjustRightInd w:val="0"/>
        <w:spacing w:after="0" w:line="276" w:lineRule="auto"/>
        <w:jc w:val="both"/>
        <w:rPr>
          <w:rFonts w:cstheme="minorHAnsi"/>
        </w:rPr>
      </w:pPr>
    </w:p>
    <w:p w14:paraId="7A5383BB" w14:textId="7D9B8117" w:rsidR="000066ED" w:rsidRPr="00C84773" w:rsidRDefault="00F55C76" w:rsidP="004F6FC0">
      <w:pPr>
        <w:shd w:val="clear" w:color="auto" w:fill="9CC2E5"/>
        <w:spacing w:after="0" w:line="276" w:lineRule="auto"/>
        <w:jc w:val="both"/>
        <w:rPr>
          <w:rFonts w:eastAsia="Times New Roman" w:cstheme="minorHAnsi"/>
          <w:b/>
          <w:bCs/>
          <w:lang w:eastAsia="fr-FR"/>
        </w:rPr>
      </w:pPr>
      <w:r w:rsidRPr="00C84773">
        <w:rPr>
          <w:rFonts w:eastAsia="Times New Roman" w:cstheme="minorHAnsi"/>
          <w:b/>
          <w:bCs/>
          <w:lang w:eastAsia="fr-FR"/>
        </w:rPr>
        <w:t>7</w:t>
      </w:r>
      <w:r w:rsidR="000066ED" w:rsidRPr="00C84773">
        <w:rPr>
          <w:rFonts w:eastAsia="Times New Roman" w:cstheme="minorHAnsi"/>
          <w:b/>
          <w:bCs/>
          <w:lang w:eastAsia="fr-FR"/>
        </w:rPr>
        <w:t>. Supervision de la consultation</w:t>
      </w:r>
    </w:p>
    <w:p w14:paraId="4F121BA7" w14:textId="442BCE8A" w:rsidR="005C5BE9" w:rsidRPr="00C84773" w:rsidRDefault="005C5BE9" w:rsidP="004F6FC0">
      <w:pPr>
        <w:spacing w:after="120" w:line="276" w:lineRule="auto"/>
        <w:jc w:val="both"/>
        <w:rPr>
          <w:rFonts w:cstheme="minorHAnsi"/>
        </w:rPr>
      </w:pPr>
      <w:r w:rsidRPr="00C84773">
        <w:rPr>
          <w:rFonts w:cstheme="minorHAnsi"/>
        </w:rPr>
        <w:t xml:space="preserve">Le/la consultant/e sera supervisé/e par l’UNICEF et travaillera en étroite collaboration avec le </w:t>
      </w:r>
      <w:proofErr w:type="gramStart"/>
      <w:r w:rsidRPr="00C84773">
        <w:rPr>
          <w:rFonts w:cstheme="minorHAnsi"/>
        </w:rPr>
        <w:t>Ministère</w:t>
      </w:r>
      <w:proofErr w:type="gramEnd"/>
      <w:r w:rsidRPr="00C84773">
        <w:rPr>
          <w:rFonts w:cstheme="minorHAnsi"/>
        </w:rPr>
        <w:t xml:space="preserve"> de la Santé et de la Protection Sociale et plus particulièrement la Direction de l’Epidémiologie et de Lutte contre les Maladies</w:t>
      </w:r>
      <w:r w:rsidR="00D27DD0" w:rsidRPr="00C84773">
        <w:rPr>
          <w:rFonts w:cstheme="minorHAnsi"/>
        </w:rPr>
        <w:t xml:space="preserve"> (DELM)</w:t>
      </w:r>
      <w:r w:rsidRPr="00C84773">
        <w:rPr>
          <w:rFonts w:cstheme="minorHAnsi"/>
        </w:rPr>
        <w:t xml:space="preserve">. </w:t>
      </w:r>
      <w:r w:rsidR="00FD5E20" w:rsidRPr="00C84773">
        <w:rPr>
          <w:rFonts w:cstheme="minorHAnsi"/>
        </w:rPr>
        <w:t>Une réunion préliminaire de cadrage de la consultance et d</w:t>
      </w:r>
      <w:r w:rsidRPr="00C84773">
        <w:rPr>
          <w:rFonts w:cstheme="minorHAnsi"/>
        </w:rPr>
        <w:t>es réunions de suivi de l’état d’avancement seront tenues avec l’UNICEF et le MSPS tout au long du processus et à la fin de chacune des étapes de la consult</w:t>
      </w:r>
      <w:r w:rsidR="00FD5E20" w:rsidRPr="00C84773">
        <w:rPr>
          <w:rFonts w:cstheme="minorHAnsi"/>
        </w:rPr>
        <w:t>ance</w:t>
      </w:r>
      <w:r w:rsidRPr="00C84773">
        <w:rPr>
          <w:rFonts w:cstheme="minorHAnsi"/>
        </w:rPr>
        <w:t xml:space="preserve"> et à la demande. </w:t>
      </w:r>
    </w:p>
    <w:p w14:paraId="04BBC41E" w14:textId="77777777" w:rsidR="005C5BE9" w:rsidRPr="00C84773" w:rsidRDefault="005C5BE9" w:rsidP="004F6FC0">
      <w:pPr>
        <w:spacing w:after="0" w:line="276" w:lineRule="auto"/>
        <w:jc w:val="both"/>
        <w:rPr>
          <w:rFonts w:cstheme="minorHAnsi"/>
        </w:rPr>
      </w:pPr>
      <w:r w:rsidRPr="00C84773">
        <w:rPr>
          <w:rFonts w:cstheme="minorHAnsi"/>
        </w:rPr>
        <w:t>Le MSPS s’engage à consacrer les ressources nécessaires, dans la limite de ses capacités afin d’assurer le bon déroulement de la prestation, mettre à disposition la documentation voulue, prendre les rendez-vous désirés par le prestataire, mobiliser sur place le personnel concerné en particulier pour la validation des livrables.</w:t>
      </w:r>
    </w:p>
    <w:p w14:paraId="5BED742D" w14:textId="77777777" w:rsidR="000066ED" w:rsidRPr="00C84773" w:rsidRDefault="000066ED" w:rsidP="004F6FC0">
      <w:pPr>
        <w:spacing w:after="0" w:line="276" w:lineRule="auto"/>
        <w:jc w:val="both"/>
        <w:rPr>
          <w:rFonts w:cstheme="minorHAnsi"/>
        </w:rPr>
      </w:pPr>
    </w:p>
    <w:p w14:paraId="3F8ED5E3" w14:textId="048F367C" w:rsidR="000066ED" w:rsidRPr="00C84773" w:rsidRDefault="00AC45A4" w:rsidP="004F6FC0">
      <w:pPr>
        <w:shd w:val="clear" w:color="auto" w:fill="9CC2E5"/>
        <w:spacing w:after="0" w:line="276" w:lineRule="auto"/>
        <w:jc w:val="both"/>
        <w:rPr>
          <w:rFonts w:eastAsia="Times New Roman" w:cstheme="minorHAnsi"/>
          <w:b/>
          <w:bCs/>
          <w:lang w:eastAsia="fr-FR"/>
        </w:rPr>
      </w:pPr>
      <w:r w:rsidRPr="00C84773">
        <w:rPr>
          <w:rFonts w:eastAsia="Times New Roman" w:cstheme="minorHAnsi"/>
          <w:b/>
          <w:bCs/>
          <w:lang w:eastAsia="fr-FR"/>
        </w:rPr>
        <w:t>8</w:t>
      </w:r>
      <w:r w:rsidR="000066ED" w:rsidRPr="00C84773">
        <w:rPr>
          <w:rFonts w:eastAsia="Times New Roman" w:cstheme="minorHAnsi"/>
          <w:b/>
          <w:bCs/>
          <w:lang w:eastAsia="fr-FR"/>
        </w:rPr>
        <w:t>. Profil des candidats</w:t>
      </w:r>
    </w:p>
    <w:p w14:paraId="24B7422C" w14:textId="2ACB7D62" w:rsidR="005E4169" w:rsidRPr="00C84773" w:rsidRDefault="005C5BE9" w:rsidP="004F6FC0">
      <w:pPr>
        <w:pStyle w:val="ListParagraph"/>
        <w:numPr>
          <w:ilvl w:val="0"/>
          <w:numId w:val="29"/>
        </w:numPr>
        <w:spacing w:after="60" w:line="276" w:lineRule="auto"/>
        <w:jc w:val="both"/>
        <w:rPr>
          <w:rFonts w:cstheme="minorHAnsi"/>
        </w:rPr>
      </w:pPr>
      <w:r w:rsidRPr="00C84773">
        <w:rPr>
          <w:rFonts w:cstheme="minorHAnsi"/>
        </w:rPr>
        <w:t>U</w:t>
      </w:r>
      <w:r w:rsidR="005E4169" w:rsidRPr="00C84773">
        <w:rPr>
          <w:rFonts w:cstheme="minorHAnsi"/>
        </w:rPr>
        <w:t>n diplôme d'études supérieures en santé environnementale, en santé publique, en épidémiologie, en recherche en santé ou tout</w:t>
      </w:r>
      <w:r w:rsidR="00D27DD0" w:rsidRPr="00C84773">
        <w:rPr>
          <w:rFonts w:cstheme="minorHAnsi"/>
        </w:rPr>
        <w:t>e</w:t>
      </w:r>
      <w:r w:rsidR="005E4169" w:rsidRPr="00C84773">
        <w:rPr>
          <w:rFonts w:cstheme="minorHAnsi"/>
        </w:rPr>
        <w:t xml:space="preserve"> autre discipline connexe</w:t>
      </w:r>
      <w:r w:rsidR="00BA496F" w:rsidRPr="00C84773">
        <w:rPr>
          <w:rFonts w:cstheme="minorHAnsi"/>
        </w:rPr>
        <w:t>.</w:t>
      </w:r>
      <w:r w:rsidR="005E4169" w:rsidRPr="00C84773">
        <w:rPr>
          <w:rFonts w:cstheme="minorHAnsi"/>
        </w:rPr>
        <w:t xml:space="preserve"> </w:t>
      </w:r>
    </w:p>
    <w:p w14:paraId="25724756" w14:textId="5B95E57A" w:rsidR="005E4169" w:rsidRPr="00C84773" w:rsidRDefault="005E4169" w:rsidP="004F6FC0">
      <w:pPr>
        <w:pStyle w:val="ListParagraph"/>
        <w:numPr>
          <w:ilvl w:val="0"/>
          <w:numId w:val="29"/>
        </w:numPr>
        <w:spacing w:after="60" w:line="276" w:lineRule="auto"/>
        <w:jc w:val="both"/>
        <w:rPr>
          <w:rFonts w:cstheme="minorHAnsi"/>
        </w:rPr>
      </w:pPr>
      <w:r w:rsidRPr="00C84773">
        <w:rPr>
          <w:rFonts w:cstheme="minorHAnsi"/>
        </w:rPr>
        <w:t xml:space="preserve">Minimum de </w:t>
      </w:r>
      <w:r w:rsidR="005C5BE9" w:rsidRPr="00C84773">
        <w:rPr>
          <w:rFonts w:cstheme="minorHAnsi"/>
        </w:rPr>
        <w:t xml:space="preserve">5 </w:t>
      </w:r>
      <w:r w:rsidRPr="00C84773">
        <w:rPr>
          <w:rFonts w:cstheme="minorHAnsi"/>
        </w:rPr>
        <w:t>ans d'expérience de travail dans les domaines de la santé publique et de la santé environnementale</w:t>
      </w:r>
      <w:r w:rsidR="00BA496F" w:rsidRPr="00C84773">
        <w:rPr>
          <w:rFonts w:cstheme="minorHAnsi"/>
        </w:rPr>
        <w:t>.</w:t>
      </w:r>
    </w:p>
    <w:p w14:paraId="2C276E4F" w14:textId="77777777" w:rsidR="005E4169" w:rsidRPr="00C84773" w:rsidRDefault="005E4169" w:rsidP="004F6FC0">
      <w:pPr>
        <w:pStyle w:val="ListParagraph"/>
        <w:numPr>
          <w:ilvl w:val="0"/>
          <w:numId w:val="29"/>
        </w:numPr>
        <w:spacing w:after="60" w:line="276" w:lineRule="auto"/>
        <w:jc w:val="both"/>
        <w:rPr>
          <w:rFonts w:cstheme="minorHAnsi"/>
        </w:rPr>
      </w:pPr>
      <w:r w:rsidRPr="00C84773">
        <w:rPr>
          <w:rFonts w:cstheme="minorHAnsi"/>
        </w:rPr>
        <w:t>Expérience avérée dans la conception d'études et d'évaluations, et dans la conduite de recherches liées à l'environnement, à la santé environnementale, à la santé des enfants, aux polluants et/ou aux métaux toxiques.</w:t>
      </w:r>
    </w:p>
    <w:p w14:paraId="5086F472" w14:textId="28504749" w:rsidR="00D27DD0" w:rsidRPr="00C84773" w:rsidRDefault="00D27DD0" w:rsidP="004F6FC0">
      <w:pPr>
        <w:pStyle w:val="ListParagraph"/>
        <w:numPr>
          <w:ilvl w:val="0"/>
          <w:numId w:val="29"/>
        </w:numPr>
        <w:spacing w:after="60" w:line="276" w:lineRule="auto"/>
        <w:jc w:val="both"/>
        <w:rPr>
          <w:rFonts w:cstheme="minorHAnsi"/>
        </w:rPr>
      </w:pPr>
      <w:r w:rsidRPr="00C84773">
        <w:rPr>
          <w:rFonts w:cstheme="minorHAnsi"/>
        </w:rPr>
        <w:t>Compréhension des systèmes et des politiques de santé publique liés à l'environnement et à la santé au Maroc</w:t>
      </w:r>
      <w:r w:rsidR="00BA496F" w:rsidRPr="00C84773">
        <w:rPr>
          <w:rFonts w:cstheme="minorHAnsi"/>
        </w:rPr>
        <w:t>.</w:t>
      </w:r>
    </w:p>
    <w:p w14:paraId="7FBF8BC9" w14:textId="1CBA7368" w:rsidR="005E4169" w:rsidRPr="00C84773" w:rsidRDefault="00D27DD0" w:rsidP="004F6FC0">
      <w:pPr>
        <w:pStyle w:val="ListParagraph"/>
        <w:numPr>
          <w:ilvl w:val="0"/>
          <w:numId w:val="29"/>
        </w:numPr>
        <w:spacing w:after="60" w:line="276" w:lineRule="auto"/>
        <w:jc w:val="both"/>
        <w:rPr>
          <w:rFonts w:cstheme="minorHAnsi"/>
        </w:rPr>
      </w:pPr>
      <w:r w:rsidRPr="00C84773">
        <w:rPr>
          <w:rFonts w:cstheme="minorHAnsi"/>
        </w:rPr>
        <w:t>Compétences en communication et</w:t>
      </w:r>
      <w:r w:rsidR="005C5BE9" w:rsidRPr="00C84773">
        <w:rPr>
          <w:rFonts w:cstheme="minorHAnsi"/>
        </w:rPr>
        <w:t>/ou en animation</w:t>
      </w:r>
      <w:r w:rsidRPr="00C84773">
        <w:rPr>
          <w:rFonts w:cstheme="minorHAnsi"/>
        </w:rPr>
        <w:t>, un atout</w:t>
      </w:r>
      <w:r w:rsidR="005C5BE9" w:rsidRPr="00C84773">
        <w:rPr>
          <w:rFonts w:cstheme="minorHAnsi"/>
        </w:rPr>
        <w:t>.</w:t>
      </w:r>
      <w:r w:rsidR="005E4169" w:rsidRPr="00C84773">
        <w:rPr>
          <w:rFonts w:cstheme="minorHAnsi"/>
        </w:rPr>
        <w:t xml:space="preserve"> </w:t>
      </w:r>
    </w:p>
    <w:p w14:paraId="048731C8" w14:textId="6F79A232" w:rsidR="005C5BE9" w:rsidRPr="00C84773" w:rsidRDefault="005C5BE9" w:rsidP="004F6FC0">
      <w:pPr>
        <w:pStyle w:val="ListParagraph"/>
        <w:numPr>
          <w:ilvl w:val="0"/>
          <w:numId w:val="29"/>
        </w:numPr>
        <w:spacing w:after="60" w:line="276" w:lineRule="auto"/>
        <w:jc w:val="both"/>
        <w:rPr>
          <w:rFonts w:cstheme="minorHAnsi"/>
        </w:rPr>
      </w:pPr>
      <w:r w:rsidRPr="00C84773">
        <w:rPr>
          <w:rFonts w:cstheme="minorHAnsi"/>
        </w:rPr>
        <w:t>Maitrise parfaite du français parlée et écrit</w:t>
      </w:r>
      <w:r w:rsidR="00BA496F" w:rsidRPr="00C84773">
        <w:rPr>
          <w:rFonts w:cstheme="minorHAnsi"/>
        </w:rPr>
        <w:t>.</w:t>
      </w:r>
    </w:p>
    <w:p w14:paraId="05EF352D" w14:textId="77777777" w:rsidR="005C5BE9" w:rsidRPr="00C84773" w:rsidRDefault="005C5BE9" w:rsidP="00046316">
      <w:pPr>
        <w:spacing w:after="0" w:line="276" w:lineRule="auto"/>
        <w:jc w:val="both"/>
        <w:rPr>
          <w:rFonts w:cstheme="minorHAnsi"/>
          <w:color w:val="7030A0"/>
        </w:rPr>
      </w:pPr>
    </w:p>
    <w:p w14:paraId="0B733A54" w14:textId="3202056C" w:rsidR="005C5BE9" w:rsidRPr="00C84773" w:rsidRDefault="00AC45A4" w:rsidP="004F6FC0">
      <w:pPr>
        <w:shd w:val="clear" w:color="auto" w:fill="9CC2E5"/>
        <w:spacing w:after="0" w:line="276" w:lineRule="auto"/>
        <w:jc w:val="both"/>
        <w:rPr>
          <w:rFonts w:eastAsia="Times New Roman" w:cstheme="minorHAnsi"/>
          <w:b/>
          <w:bCs/>
          <w:lang w:eastAsia="fr-FR"/>
        </w:rPr>
      </w:pPr>
      <w:r w:rsidRPr="00C84773">
        <w:rPr>
          <w:rFonts w:eastAsia="Times New Roman" w:cstheme="minorHAnsi"/>
          <w:b/>
          <w:bCs/>
          <w:lang w:eastAsia="fr-FR"/>
        </w:rPr>
        <w:t>9</w:t>
      </w:r>
      <w:r w:rsidR="005C5BE9" w:rsidRPr="00C84773">
        <w:rPr>
          <w:rFonts w:eastAsia="Times New Roman" w:cstheme="minorHAnsi"/>
          <w:b/>
          <w:bCs/>
          <w:lang w:eastAsia="fr-FR"/>
        </w:rPr>
        <w:t>. Dossier de candidature</w:t>
      </w:r>
    </w:p>
    <w:p w14:paraId="6A31CE55" w14:textId="1CD9907A" w:rsidR="005C5BE9" w:rsidRPr="00C84773" w:rsidRDefault="005C5BE9" w:rsidP="004F6FC0">
      <w:pPr>
        <w:spacing w:after="120" w:line="276" w:lineRule="auto"/>
        <w:jc w:val="both"/>
        <w:rPr>
          <w:rFonts w:cstheme="minorHAnsi"/>
        </w:rPr>
      </w:pPr>
      <w:r w:rsidRPr="00C84773">
        <w:rPr>
          <w:rFonts w:cstheme="minorHAnsi"/>
          <w:color w:val="000000"/>
        </w:rPr>
        <w:lastRenderedPageBreak/>
        <w:t xml:space="preserve">Cet appel à consultation est ouvert aux consultants individuels </w:t>
      </w:r>
      <w:r w:rsidR="00885570" w:rsidRPr="00C84773">
        <w:rPr>
          <w:rFonts w:cstheme="minorHAnsi"/>
          <w:color w:val="000000"/>
        </w:rPr>
        <w:t>nationaux</w:t>
      </w:r>
      <w:r w:rsidRPr="00C84773">
        <w:rPr>
          <w:rFonts w:cstheme="minorHAnsi"/>
          <w:color w:val="000000"/>
        </w:rPr>
        <w:t>. Le</w:t>
      </w:r>
      <w:r w:rsidR="00D27DD0" w:rsidRPr="00C84773">
        <w:rPr>
          <w:rFonts w:cstheme="minorHAnsi"/>
          <w:color w:val="000000"/>
        </w:rPr>
        <w:t>/la</w:t>
      </w:r>
      <w:r w:rsidRPr="00C84773">
        <w:rPr>
          <w:rFonts w:cstheme="minorHAnsi"/>
          <w:color w:val="000000"/>
        </w:rPr>
        <w:t xml:space="preserve"> consultant</w:t>
      </w:r>
      <w:r w:rsidR="009C22FC" w:rsidRPr="00C84773">
        <w:rPr>
          <w:rFonts w:cstheme="minorHAnsi"/>
          <w:color w:val="000000"/>
        </w:rPr>
        <w:t>/</w:t>
      </w:r>
      <w:r w:rsidR="00D27DD0" w:rsidRPr="00C84773">
        <w:rPr>
          <w:rFonts w:cstheme="minorHAnsi"/>
          <w:color w:val="000000"/>
        </w:rPr>
        <w:t>e</w:t>
      </w:r>
      <w:r w:rsidRPr="00C84773">
        <w:rPr>
          <w:rFonts w:cstheme="minorHAnsi"/>
          <w:color w:val="000000"/>
        </w:rPr>
        <w:t xml:space="preserve"> sera recruté</w:t>
      </w:r>
      <w:r w:rsidR="00D27DD0" w:rsidRPr="00C84773">
        <w:rPr>
          <w:rFonts w:cstheme="minorHAnsi"/>
          <w:color w:val="000000"/>
        </w:rPr>
        <w:t>/e</w:t>
      </w:r>
      <w:r w:rsidRPr="00C84773">
        <w:rPr>
          <w:rFonts w:cstheme="minorHAnsi"/>
          <w:color w:val="000000"/>
        </w:rPr>
        <w:t xml:space="preserve"> sur </w:t>
      </w:r>
      <w:r w:rsidRPr="00C84773">
        <w:rPr>
          <w:rFonts w:cstheme="minorHAnsi"/>
          <w:bCs/>
        </w:rPr>
        <w:t>la base d’un contrat de prestations de services conclu avec le bureau de l’UNICEF au Maroc.</w:t>
      </w:r>
      <w:r w:rsidRPr="00C84773">
        <w:rPr>
          <w:rFonts w:cstheme="minorHAnsi"/>
          <w:color w:val="000000"/>
        </w:rPr>
        <w:t xml:space="preserve"> </w:t>
      </w:r>
    </w:p>
    <w:p w14:paraId="13C56FB8" w14:textId="77777777" w:rsidR="005C5BE9" w:rsidRPr="00C84773" w:rsidRDefault="005C5BE9" w:rsidP="004F6FC0">
      <w:pPr>
        <w:spacing w:after="0" w:line="276" w:lineRule="auto"/>
        <w:jc w:val="both"/>
        <w:rPr>
          <w:rFonts w:cstheme="minorHAnsi"/>
          <w:bCs/>
        </w:rPr>
      </w:pPr>
      <w:r w:rsidRPr="00C84773">
        <w:rPr>
          <w:rFonts w:cstheme="minorHAnsi"/>
          <w:bCs/>
        </w:rPr>
        <w:t>Le dossier de candidature comprendra :</w:t>
      </w:r>
    </w:p>
    <w:p w14:paraId="185B9B58" w14:textId="77777777" w:rsidR="005C5BE9" w:rsidRPr="00C84773" w:rsidRDefault="005C5BE9" w:rsidP="004F6FC0">
      <w:pPr>
        <w:pStyle w:val="ListParagraph"/>
        <w:numPr>
          <w:ilvl w:val="0"/>
          <w:numId w:val="5"/>
        </w:numPr>
        <w:tabs>
          <w:tab w:val="left" w:pos="284"/>
          <w:tab w:val="left" w:pos="426"/>
        </w:tabs>
        <w:spacing w:after="0" w:line="276" w:lineRule="auto"/>
        <w:jc w:val="both"/>
        <w:rPr>
          <w:rFonts w:cstheme="minorHAnsi"/>
          <w:bCs/>
        </w:rPr>
      </w:pPr>
      <w:r w:rsidRPr="00C84773">
        <w:rPr>
          <w:rFonts w:cstheme="minorHAnsi"/>
          <w:bCs/>
        </w:rPr>
        <w:t xml:space="preserve">Une offre technique avec les éléments suivants :  </w:t>
      </w:r>
    </w:p>
    <w:p w14:paraId="0D634CF9" w14:textId="77777777" w:rsidR="005C5BE9" w:rsidRPr="00C84773" w:rsidRDefault="005C5BE9" w:rsidP="004F6FC0">
      <w:pPr>
        <w:pStyle w:val="ListParagraph"/>
        <w:numPr>
          <w:ilvl w:val="0"/>
          <w:numId w:val="4"/>
        </w:numPr>
        <w:spacing w:after="0" w:line="276" w:lineRule="auto"/>
        <w:contextualSpacing w:val="0"/>
        <w:jc w:val="both"/>
        <w:rPr>
          <w:rFonts w:cstheme="minorHAnsi"/>
        </w:rPr>
      </w:pPr>
      <w:r w:rsidRPr="00C84773">
        <w:rPr>
          <w:rFonts w:cstheme="minorHAnsi"/>
        </w:rPr>
        <w:t>Une lettre de motivation ;</w:t>
      </w:r>
    </w:p>
    <w:p w14:paraId="358CA34E" w14:textId="41025CC4" w:rsidR="005C5BE9" w:rsidRPr="00C84773" w:rsidRDefault="005C5BE9" w:rsidP="004F6FC0">
      <w:pPr>
        <w:pStyle w:val="ListParagraph"/>
        <w:numPr>
          <w:ilvl w:val="0"/>
          <w:numId w:val="4"/>
        </w:numPr>
        <w:spacing w:after="0" w:line="276" w:lineRule="auto"/>
        <w:contextualSpacing w:val="0"/>
        <w:jc w:val="both"/>
        <w:rPr>
          <w:rFonts w:cstheme="minorHAnsi"/>
        </w:rPr>
      </w:pPr>
      <w:r w:rsidRPr="00C84773">
        <w:rPr>
          <w:rFonts w:cstheme="minorHAnsi"/>
        </w:rPr>
        <w:t>Une note méthodologique décrivant de manière synthétique la démarche qui sera suivie pour répondre aux termes de référence de cette consultation incluant un calendrier d’exécution</w:t>
      </w:r>
      <w:r w:rsidR="00A3473B" w:rsidRPr="00C84773">
        <w:rPr>
          <w:rFonts w:cstheme="minorHAnsi"/>
        </w:rPr>
        <w:t xml:space="preserve"> </w:t>
      </w:r>
      <w:r w:rsidRPr="00C84773">
        <w:rPr>
          <w:rFonts w:cstheme="minorHAnsi"/>
        </w:rPr>
        <w:t>;</w:t>
      </w:r>
      <w:r w:rsidR="00A3473B" w:rsidRPr="00C84773">
        <w:rPr>
          <w:rFonts w:cstheme="minorHAnsi"/>
        </w:rPr>
        <w:t xml:space="preserve"> </w:t>
      </w:r>
    </w:p>
    <w:p w14:paraId="6F61BFAC" w14:textId="77777777" w:rsidR="005C5BE9" w:rsidRPr="00C84773" w:rsidRDefault="005C5BE9" w:rsidP="004F6FC0">
      <w:pPr>
        <w:pStyle w:val="ListParagraph"/>
        <w:numPr>
          <w:ilvl w:val="0"/>
          <w:numId w:val="4"/>
        </w:numPr>
        <w:spacing w:after="0" w:line="276" w:lineRule="auto"/>
        <w:contextualSpacing w:val="0"/>
        <w:jc w:val="both"/>
        <w:rPr>
          <w:rFonts w:cstheme="minorHAnsi"/>
        </w:rPr>
      </w:pPr>
      <w:r w:rsidRPr="00C84773">
        <w:rPr>
          <w:rFonts w:cstheme="minorHAnsi"/>
        </w:rPr>
        <w:t xml:space="preserve">Un CV détaillé, mentionnant les expériences antérieures dans le domaine et les compétences requises pour cette consultation ainsi que 3 références professionnelles ; </w:t>
      </w:r>
    </w:p>
    <w:p w14:paraId="14032F9C" w14:textId="5882AB69" w:rsidR="005C5BE9" w:rsidRPr="00C84773" w:rsidRDefault="00885570" w:rsidP="004F6FC0">
      <w:pPr>
        <w:pStyle w:val="ListParagraph"/>
        <w:numPr>
          <w:ilvl w:val="0"/>
          <w:numId w:val="4"/>
        </w:numPr>
        <w:spacing w:after="120" w:line="276" w:lineRule="auto"/>
        <w:ind w:left="357" w:hanging="357"/>
        <w:contextualSpacing w:val="0"/>
        <w:jc w:val="both"/>
        <w:rPr>
          <w:rFonts w:cstheme="minorHAnsi"/>
        </w:rPr>
      </w:pPr>
      <w:r w:rsidRPr="00C84773">
        <w:rPr>
          <w:rFonts w:cstheme="minorHAnsi"/>
        </w:rPr>
        <w:t>La c</w:t>
      </w:r>
      <w:r w:rsidR="005C5BE9" w:rsidRPr="00C84773">
        <w:rPr>
          <w:rFonts w:cstheme="minorHAnsi"/>
        </w:rPr>
        <w:t>opie des diplômes</w:t>
      </w:r>
      <w:r w:rsidR="00A3473B" w:rsidRPr="00C84773">
        <w:rPr>
          <w:rFonts w:cstheme="minorHAnsi"/>
        </w:rPr>
        <w:t> ;</w:t>
      </w:r>
    </w:p>
    <w:p w14:paraId="59462C8B" w14:textId="53AB7FB7" w:rsidR="005C5BE9" w:rsidRPr="00C84773" w:rsidRDefault="005C5BE9" w:rsidP="004F6FC0">
      <w:pPr>
        <w:pStyle w:val="ListParagraph"/>
        <w:numPr>
          <w:ilvl w:val="0"/>
          <w:numId w:val="5"/>
        </w:numPr>
        <w:tabs>
          <w:tab w:val="left" w:pos="426"/>
        </w:tabs>
        <w:spacing w:after="0" w:line="276" w:lineRule="auto"/>
        <w:jc w:val="both"/>
        <w:rPr>
          <w:rFonts w:cstheme="minorHAnsi"/>
        </w:rPr>
      </w:pPr>
      <w:r w:rsidRPr="00C84773">
        <w:rPr>
          <w:rFonts w:cstheme="minorHAnsi"/>
        </w:rPr>
        <w:t xml:space="preserve">Une offre financière pour chacune des prestations en </w:t>
      </w:r>
      <w:r w:rsidR="00885570" w:rsidRPr="00C84773">
        <w:rPr>
          <w:rFonts w:cstheme="minorHAnsi"/>
        </w:rPr>
        <w:t>dirhams</w:t>
      </w:r>
      <w:r w:rsidRPr="00C84773">
        <w:rPr>
          <w:rFonts w:cstheme="minorHAnsi"/>
        </w:rPr>
        <w:t xml:space="preserve"> avec le nombre de jours estimés et le taux journalier y compris les frais de déplacement et toute autre charge liée à la réalisation des prestations. </w:t>
      </w:r>
    </w:p>
    <w:p w14:paraId="7427A52A" w14:textId="77777777" w:rsidR="005C5BE9" w:rsidRPr="00C84773" w:rsidRDefault="005C5BE9" w:rsidP="004F6FC0">
      <w:pPr>
        <w:pStyle w:val="ListParagraph"/>
        <w:spacing w:after="0" w:line="276" w:lineRule="auto"/>
        <w:ind w:left="0"/>
        <w:jc w:val="both"/>
        <w:rPr>
          <w:rFonts w:cstheme="minorHAnsi"/>
        </w:rPr>
      </w:pPr>
    </w:p>
    <w:p w14:paraId="2FF81FD7" w14:textId="77777777" w:rsidR="005C5BE9" w:rsidRPr="00C84773" w:rsidRDefault="005C5BE9" w:rsidP="004F6FC0">
      <w:pPr>
        <w:pStyle w:val="ListParagraph"/>
        <w:spacing w:after="120" w:line="276" w:lineRule="auto"/>
        <w:ind w:left="0"/>
        <w:contextualSpacing w:val="0"/>
        <w:jc w:val="both"/>
        <w:rPr>
          <w:rFonts w:cstheme="minorHAnsi"/>
        </w:rPr>
      </w:pPr>
      <w:r w:rsidRPr="00C84773">
        <w:rPr>
          <w:rFonts w:cstheme="minorHAnsi"/>
        </w:rPr>
        <w:t>N.B : Les honoraires doivent être en montant brut et la déclaration des impôts est à la charge du consultant.</w:t>
      </w:r>
    </w:p>
    <w:p w14:paraId="5CEA3E04" w14:textId="77777777" w:rsidR="005C5BE9" w:rsidRPr="00C84773" w:rsidRDefault="005C5BE9" w:rsidP="004F6FC0">
      <w:pPr>
        <w:spacing w:after="120" w:line="276" w:lineRule="auto"/>
        <w:jc w:val="both"/>
        <w:rPr>
          <w:rFonts w:cstheme="minorHAnsi"/>
          <w:b/>
          <w:bCs/>
          <w:color w:val="000000"/>
        </w:rPr>
      </w:pPr>
      <w:r w:rsidRPr="00C84773">
        <w:rPr>
          <w:rFonts w:cstheme="minorHAnsi"/>
          <w:b/>
          <w:bCs/>
          <w:color w:val="000000"/>
        </w:rPr>
        <w:t>Tous ces documents doivent être attachés sur le système lors de la soumission.</w:t>
      </w:r>
    </w:p>
    <w:p w14:paraId="215A0129" w14:textId="3FBC566A" w:rsidR="005C5BE9" w:rsidRPr="00C84773" w:rsidRDefault="005C5BE9" w:rsidP="004F6FC0">
      <w:pPr>
        <w:spacing w:after="120" w:line="276" w:lineRule="auto"/>
        <w:jc w:val="both"/>
        <w:rPr>
          <w:rFonts w:cstheme="minorHAnsi"/>
          <w:b/>
        </w:rPr>
      </w:pPr>
      <w:r w:rsidRPr="00C84773">
        <w:rPr>
          <w:rFonts w:cstheme="minorHAnsi"/>
          <w:b/>
        </w:rPr>
        <w:t xml:space="preserve">Le délai de candidature est fixé au </w:t>
      </w:r>
      <w:r w:rsidR="00BD6263">
        <w:rPr>
          <w:rFonts w:cstheme="minorHAnsi"/>
          <w:b/>
        </w:rPr>
        <w:t>03 janvier 2025</w:t>
      </w:r>
    </w:p>
    <w:p w14:paraId="14EB5657" w14:textId="77777777" w:rsidR="005C5BE9" w:rsidRPr="00C84773" w:rsidRDefault="005C5BE9" w:rsidP="004F6FC0">
      <w:pPr>
        <w:spacing w:after="0" w:line="276" w:lineRule="auto"/>
        <w:jc w:val="both"/>
        <w:rPr>
          <w:rFonts w:cstheme="minorHAnsi"/>
          <w:b/>
        </w:rPr>
      </w:pPr>
      <w:r w:rsidRPr="00C84773">
        <w:rPr>
          <w:rFonts w:cstheme="minorHAnsi"/>
          <w:b/>
        </w:rPr>
        <w:t>**** Tout dossier incomplet sera considéré comme irrecevable****</w:t>
      </w:r>
    </w:p>
    <w:p w14:paraId="235C1648" w14:textId="77777777" w:rsidR="005C5BE9" w:rsidRPr="00C84773" w:rsidRDefault="005C5BE9" w:rsidP="004F6FC0">
      <w:pPr>
        <w:spacing w:after="0" w:line="276" w:lineRule="auto"/>
        <w:jc w:val="both"/>
        <w:rPr>
          <w:rFonts w:cstheme="minorHAnsi"/>
          <w:b/>
        </w:rPr>
      </w:pPr>
    </w:p>
    <w:p w14:paraId="1ECF975C" w14:textId="3322252B" w:rsidR="005C5BE9" w:rsidRPr="00C84773" w:rsidRDefault="00AC45A4" w:rsidP="004F6FC0">
      <w:pPr>
        <w:shd w:val="clear" w:color="auto" w:fill="9CC2E5"/>
        <w:spacing w:after="0" w:line="276" w:lineRule="auto"/>
        <w:jc w:val="both"/>
        <w:rPr>
          <w:rFonts w:eastAsia="Times New Roman" w:cstheme="minorHAnsi"/>
          <w:b/>
          <w:bCs/>
          <w:lang w:eastAsia="fr-FR"/>
        </w:rPr>
      </w:pPr>
      <w:r w:rsidRPr="00C84773">
        <w:rPr>
          <w:rFonts w:eastAsia="Times New Roman" w:cstheme="minorHAnsi"/>
          <w:b/>
          <w:bCs/>
          <w:lang w:eastAsia="fr-FR"/>
        </w:rPr>
        <w:t>10</w:t>
      </w:r>
      <w:r w:rsidR="005C5BE9" w:rsidRPr="00C84773">
        <w:rPr>
          <w:rFonts w:eastAsia="Times New Roman" w:cstheme="minorHAnsi"/>
          <w:b/>
          <w:bCs/>
          <w:lang w:eastAsia="fr-FR"/>
        </w:rPr>
        <w:t>. Evaluation des offres </w:t>
      </w:r>
    </w:p>
    <w:p w14:paraId="7EA6449C" w14:textId="77777777" w:rsidR="005C5BE9" w:rsidRPr="00C84773" w:rsidRDefault="005C5BE9" w:rsidP="004F6FC0">
      <w:pPr>
        <w:autoSpaceDE w:val="0"/>
        <w:autoSpaceDN w:val="0"/>
        <w:adjustRightInd w:val="0"/>
        <w:spacing w:after="0" w:line="276" w:lineRule="auto"/>
        <w:jc w:val="both"/>
        <w:rPr>
          <w:rFonts w:cstheme="minorHAnsi"/>
        </w:rPr>
      </w:pPr>
      <w:r w:rsidRPr="00C84773">
        <w:rPr>
          <w:rFonts w:cstheme="minorHAnsi"/>
        </w:rPr>
        <w:t>L’évaluation des dossiers de candidatures se fera par une commission constituée par des représentants de l’UNICEF et du Ministère de la Santé/DELM. L’évaluation des offres sera faite en fonction d’une pondération des Critères d’évaluation Technique et Financière.</w:t>
      </w:r>
    </w:p>
    <w:p w14:paraId="4BA320CA" w14:textId="77777777" w:rsidR="005C5BE9" w:rsidRPr="00C84773" w:rsidRDefault="005C5BE9" w:rsidP="004F6FC0">
      <w:pPr>
        <w:spacing w:after="0" w:line="276" w:lineRule="auto"/>
        <w:jc w:val="both"/>
        <w:rPr>
          <w:rFonts w:cstheme="minorHAnsi"/>
          <w:b/>
          <w:bCs/>
          <w:kern w:val="28"/>
        </w:rPr>
      </w:pPr>
    </w:p>
    <w:p w14:paraId="4C2DB2A2" w14:textId="77777777" w:rsidR="005C5BE9" w:rsidRPr="00C84773" w:rsidRDefault="005C5BE9" w:rsidP="004F6FC0">
      <w:pPr>
        <w:autoSpaceDE w:val="0"/>
        <w:autoSpaceDN w:val="0"/>
        <w:adjustRightInd w:val="0"/>
        <w:spacing w:after="0" w:line="276" w:lineRule="auto"/>
        <w:jc w:val="both"/>
        <w:rPr>
          <w:rFonts w:cstheme="minorHAnsi"/>
          <w:b/>
          <w:bCs/>
          <w:kern w:val="28"/>
        </w:rPr>
      </w:pPr>
      <w:r w:rsidRPr="00C84773">
        <w:rPr>
          <w:rFonts w:cstheme="minorHAnsi"/>
          <w:b/>
          <w:bCs/>
          <w:kern w:val="28"/>
        </w:rPr>
        <w:t>Phase 1 : Analyse technique comparative des offres :</w:t>
      </w:r>
    </w:p>
    <w:p w14:paraId="102AD51C" w14:textId="77777777" w:rsidR="005C5BE9" w:rsidRPr="00C84773" w:rsidRDefault="005C5BE9" w:rsidP="004F6FC0">
      <w:pPr>
        <w:spacing w:after="0" w:line="276" w:lineRule="auto"/>
        <w:jc w:val="both"/>
        <w:rPr>
          <w:rFonts w:cstheme="minorHAnsi"/>
        </w:rPr>
      </w:pPr>
      <w:r w:rsidRPr="00C84773">
        <w:rPr>
          <w:rFonts w:cstheme="minorHAnsi"/>
        </w:rPr>
        <w:t>Pendant cette phase, il sera procédé à la comparaison technique des offres. Une note technique T sur 100 sera attribuée à chaque offre, sur la base du barème suivant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548"/>
      </w:tblGrid>
      <w:tr w:rsidR="005C5BE9" w:rsidRPr="00C84773" w14:paraId="3BB0053E" w14:textId="77777777" w:rsidTr="009B7590">
        <w:trPr>
          <w:trHeight w:val="362"/>
          <w:jc w:val="center"/>
        </w:trPr>
        <w:tc>
          <w:tcPr>
            <w:tcW w:w="5665" w:type="dxa"/>
            <w:shd w:val="clear" w:color="auto" w:fill="auto"/>
          </w:tcPr>
          <w:p w14:paraId="563E47FF" w14:textId="77777777" w:rsidR="005C5BE9" w:rsidRPr="00C84773" w:rsidRDefault="005C5BE9" w:rsidP="009B7590">
            <w:pPr>
              <w:spacing w:after="0" w:line="276" w:lineRule="auto"/>
              <w:rPr>
                <w:rFonts w:cstheme="minorHAnsi"/>
                <w:b/>
                <w:bCs/>
              </w:rPr>
            </w:pPr>
            <w:r w:rsidRPr="00C84773">
              <w:rPr>
                <w:rFonts w:cstheme="minorHAnsi"/>
                <w:b/>
                <w:bCs/>
              </w:rPr>
              <w:t>Critères</w:t>
            </w:r>
          </w:p>
        </w:tc>
        <w:tc>
          <w:tcPr>
            <w:tcW w:w="2548" w:type="dxa"/>
            <w:shd w:val="clear" w:color="auto" w:fill="auto"/>
          </w:tcPr>
          <w:p w14:paraId="2E5CDDA6" w14:textId="77777777" w:rsidR="005C5BE9" w:rsidRPr="00C84773" w:rsidRDefault="005C5BE9" w:rsidP="004F6FC0">
            <w:pPr>
              <w:pStyle w:val="ListParagraph"/>
              <w:spacing w:after="0" w:line="276" w:lineRule="auto"/>
              <w:ind w:left="0"/>
              <w:jc w:val="both"/>
              <w:rPr>
                <w:rFonts w:cstheme="minorHAnsi"/>
                <w:b/>
                <w:bCs/>
              </w:rPr>
            </w:pPr>
            <w:r w:rsidRPr="00C84773">
              <w:rPr>
                <w:rFonts w:cstheme="minorHAnsi"/>
                <w:b/>
                <w:bCs/>
              </w:rPr>
              <w:t>Note (max. 100 points)</w:t>
            </w:r>
          </w:p>
        </w:tc>
      </w:tr>
      <w:tr w:rsidR="005C5BE9" w:rsidRPr="00C84773" w14:paraId="32E9F914" w14:textId="77777777" w:rsidTr="009B7590">
        <w:trPr>
          <w:trHeight w:val="257"/>
          <w:jc w:val="center"/>
        </w:trPr>
        <w:tc>
          <w:tcPr>
            <w:tcW w:w="5665" w:type="dxa"/>
            <w:shd w:val="clear" w:color="auto" w:fill="auto"/>
          </w:tcPr>
          <w:p w14:paraId="6AC5F07D" w14:textId="515A93C8" w:rsidR="005C5BE9" w:rsidRPr="00C84773" w:rsidRDefault="009B7590" w:rsidP="009B7590">
            <w:pPr>
              <w:spacing w:after="0" w:line="276" w:lineRule="auto"/>
              <w:rPr>
                <w:rFonts w:cstheme="minorHAnsi"/>
              </w:rPr>
            </w:pPr>
            <w:r w:rsidRPr="00C84773">
              <w:rPr>
                <w:rFonts w:cstheme="minorHAnsi"/>
              </w:rPr>
              <w:t>Pertinence du profil</w:t>
            </w:r>
            <w:r w:rsidR="005C5BE9" w:rsidRPr="00C84773">
              <w:rPr>
                <w:rFonts w:cstheme="minorHAnsi"/>
              </w:rPr>
              <w:t xml:space="preserve"> du prestataire</w:t>
            </w:r>
          </w:p>
        </w:tc>
        <w:tc>
          <w:tcPr>
            <w:tcW w:w="2548" w:type="dxa"/>
            <w:shd w:val="clear" w:color="auto" w:fill="auto"/>
          </w:tcPr>
          <w:p w14:paraId="46A7EADD" w14:textId="723287FB" w:rsidR="005C5BE9" w:rsidRPr="00C84773" w:rsidRDefault="009B7590" w:rsidP="004F6FC0">
            <w:pPr>
              <w:pStyle w:val="ListParagraph"/>
              <w:spacing w:after="0" w:line="276" w:lineRule="auto"/>
              <w:jc w:val="both"/>
              <w:rPr>
                <w:rFonts w:cstheme="minorHAnsi"/>
              </w:rPr>
            </w:pPr>
            <w:r w:rsidRPr="00C84773">
              <w:rPr>
                <w:rFonts w:cstheme="minorHAnsi"/>
              </w:rPr>
              <w:t>20</w:t>
            </w:r>
          </w:p>
        </w:tc>
      </w:tr>
      <w:tr w:rsidR="005C5BE9" w:rsidRPr="00C84773" w14:paraId="1A5BBB64" w14:textId="77777777" w:rsidTr="009B7590">
        <w:trPr>
          <w:trHeight w:val="257"/>
          <w:jc w:val="center"/>
        </w:trPr>
        <w:tc>
          <w:tcPr>
            <w:tcW w:w="5665" w:type="dxa"/>
            <w:shd w:val="clear" w:color="auto" w:fill="auto"/>
          </w:tcPr>
          <w:p w14:paraId="5505311B" w14:textId="1AE43860" w:rsidR="005C5BE9" w:rsidRPr="00C84773" w:rsidRDefault="005C5BE9" w:rsidP="009B7590">
            <w:pPr>
              <w:spacing w:after="0" w:line="276" w:lineRule="auto"/>
              <w:rPr>
                <w:rFonts w:cstheme="minorHAnsi"/>
              </w:rPr>
            </w:pPr>
            <w:r w:rsidRPr="00C84773">
              <w:rPr>
                <w:rFonts w:cstheme="minorHAnsi"/>
              </w:rPr>
              <w:t>Expérience et compétence</w:t>
            </w:r>
            <w:r w:rsidR="009B7590" w:rsidRPr="00C84773">
              <w:rPr>
                <w:rFonts w:cstheme="minorHAnsi"/>
              </w:rPr>
              <w:t>s</w:t>
            </w:r>
            <w:r w:rsidRPr="00C84773">
              <w:rPr>
                <w:rFonts w:cstheme="minorHAnsi"/>
              </w:rPr>
              <w:t xml:space="preserve"> du prestataire dans le secteur </w:t>
            </w:r>
          </w:p>
        </w:tc>
        <w:tc>
          <w:tcPr>
            <w:tcW w:w="2548" w:type="dxa"/>
            <w:shd w:val="clear" w:color="auto" w:fill="auto"/>
          </w:tcPr>
          <w:p w14:paraId="4339C588" w14:textId="7312A856" w:rsidR="005C5BE9" w:rsidRPr="00C84773" w:rsidRDefault="009B7590" w:rsidP="004F6FC0">
            <w:pPr>
              <w:pStyle w:val="ListParagraph"/>
              <w:spacing w:after="0" w:line="276" w:lineRule="auto"/>
              <w:jc w:val="both"/>
              <w:rPr>
                <w:rFonts w:cstheme="minorHAnsi"/>
              </w:rPr>
            </w:pPr>
            <w:r w:rsidRPr="00C84773">
              <w:rPr>
                <w:rFonts w:cstheme="minorHAnsi"/>
              </w:rPr>
              <w:t>20</w:t>
            </w:r>
          </w:p>
        </w:tc>
      </w:tr>
      <w:tr w:rsidR="005C5BE9" w:rsidRPr="00C84773" w14:paraId="7763F335" w14:textId="77777777" w:rsidTr="009B7590">
        <w:trPr>
          <w:trHeight w:val="336"/>
          <w:jc w:val="center"/>
        </w:trPr>
        <w:tc>
          <w:tcPr>
            <w:tcW w:w="5665" w:type="dxa"/>
            <w:shd w:val="clear" w:color="auto" w:fill="auto"/>
          </w:tcPr>
          <w:p w14:paraId="4C309BA8" w14:textId="58906721" w:rsidR="005C5BE9" w:rsidRPr="00C84773" w:rsidRDefault="005C5BE9" w:rsidP="009B7590">
            <w:pPr>
              <w:spacing w:after="0" w:line="276" w:lineRule="auto"/>
              <w:rPr>
                <w:rFonts w:cstheme="minorHAnsi"/>
              </w:rPr>
            </w:pPr>
            <w:r w:rsidRPr="00C84773">
              <w:rPr>
                <w:rFonts w:cstheme="minorHAnsi"/>
              </w:rPr>
              <w:t>Qualité de la note méthodologique</w:t>
            </w:r>
          </w:p>
        </w:tc>
        <w:tc>
          <w:tcPr>
            <w:tcW w:w="2548" w:type="dxa"/>
            <w:shd w:val="clear" w:color="auto" w:fill="auto"/>
          </w:tcPr>
          <w:p w14:paraId="7FD05BF0" w14:textId="409E5153" w:rsidR="005C5BE9" w:rsidRPr="00C84773" w:rsidRDefault="005C5BE9" w:rsidP="004F6FC0">
            <w:pPr>
              <w:pStyle w:val="ListParagraph"/>
              <w:spacing w:after="0" w:line="276" w:lineRule="auto"/>
              <w:jc w:val="both"/>
              <w:rPr>
                <w:rFonts w:cstheme="minorHAnsi"/>
              </w:rPr>
            </w:pPr>
            <w:r w:rsidRPr="00C84773">
              <w:rPr>
                <w:rFonts w:cstheme="minorHAnsi"/>
              </w:rPr>
              <w:t>40</w:t>
            </w:r>
          </w:p>
        </w:tc>
      </w:tr>
      <w:tr w:rsidR="009B7590" w:rsidRPr="00C84773" w14:paraId="4B2CE0CA" w14:textId="77777777" w:rsidTr="009B7590">
        <w:trPr>
          <w:trHeight w:val="336"/>
          <w:jc w:val="center"/>
        </w:trPr>
        <w:tc>
          <w:tcPr>
            <w:tcW w:w="5665" w:type="dxa"/>
            <w:shd w:val="clear" w:color="auto" w:fill="auto"/>
          </w:tcPr>
          <w:p w14:paraId="6409580F" w14:textId="7445F20F" w:rsidR="009B7590" w:rsidRPr="00C84773" w:rsidRDefault="009B7590" w:rsidP="009B7590">
            <w:pPr>
              <w:spacing w:after="0" w:line="276" w:lineRule="auto"/>
              <w:rPr>
                <w:rFonts w:cstheme="minorHAnsi"/>
              </w:rPr>
            </w:pPr>
            <w:r w:rsidRPr="00C84773">
              <w:rPr>
                <w:rFonts w:cstheme="minorHAnsi"/>
              </w:rPr>
              <w:t>Références</w:t>
            </w:r>
          </w:p>
        </w:tc>
        <w:tc>
          <w:tcPr>
            <w:tcW w:w="2548" w:type="dxa"/>
            <w:shd w:val="clear" w:color="auto" w:fill="auto"/>
          </w:tcPr>
          <w:p w14:paraId="55842FDC" w14:textId="5C19403A" w:rsidR="009B7590" w:rsidRPr="00C84773" w:rsidRDefault="009B7590" w:rsidP="004F6FC0">
            <w:pPr>
              <w:pStyle w:val="ListParagraph"/>
              <w:spacing w:after="0" w:line="276" w:lineRule="auto"/>
              <w:jc w:val="both"/>
              <w:rPr>
                <w:rFonts w:cstheme="minorHAnsi"/>
              </w:rPr>
            </w:pPr>
            <w:r w:rsidRPr="00C84773">
              <w:rPr>
                <w:rFonts w:cstheme="minorHAnsi"/>
              </w:rPr>
              <w:t>20</w:t>
            </w:r>
          </w:p>
        </w:tc>
      </w:tr>
      <w:tr w:rsidR="005C5BE9" w:rsidRPr="00C84773" w14:paraId="66849168" w14:textId="77777777" w:rsidTr="009B7590">
        <w:trPr>
          <w:jc w:val="center"/>
        </w:trPr>
        <w:tc>
          <w:tcPr>
            <w:tcW w:w="5665" w:type="dxa"/>
            <w:shd w:val="clear" w:color="auto" w:fill="FFFFFF"/>
          </w:tcPr>
          <w:p w14:paraId="50761D2F" w14:textId="77777777" w:rsidR="005C5BE9" w:rsidRPr="00C84773" w:rsidRDefault="005C5BE9" w:rsidP="009B7590">
            <w:pPr>
              <w:spacing w:after="0" w:line="276" w:lineRule="auto"/>
              <w:rPr>
                <w:rFonts w:cstheme="minorHAnsi"/>
                <w:b/>
                <w:bCs/>
              </w:rPr>
            </w:pPr>
            <w:r w:rsidRPr="00C84773">
              <w:rPr>
                <w:rFonts w:cstheme="minorHAnsi"/>
                <w:b/>
                <w:bCs/>
              </w:rPr>
              <w:t>Total</w:t>
            </w:r>
          </w:p>
        </w:tc>
        <w:tc>
          <w:tcPr>
            <w:tcW w:w="2548" w:type="dxa"/>
            <w:shd w:val="clear" w:color="auto" w:fill="FFFFFF"/>
          </w:tcPr>
          <w:p w14:paraId="5E4A6153" w14:textId="77777777" w:rsidR="005C5BE9" w:rsidRPr="00C84773" w:rsidRDefault="005C5BE9" w:rsidP="004F6FC0">
            <w:pPr>
              <w:spacing w:after="0" w:line="276" w:lineRule="auto"/>
              <w:ind w:left="720"/>
              <w:jc w:val="both"/>
              <w:rPr>
                <w:rFonts w:cstheme="minorHAnsi"/>
                <w:b/>
                <w:bCs/>
              </w:rPr>
            </w:pPr>
            <w:r w:rsidRPr="00C84773">
              <w:rPr>
                <w:rFonts w:cstheme="minorHAnsi"/>
                <w:b/>
                <w:bCs/>
              </w:rPr>
              <w:t>100</w:t>
            </w:r>
          </w:p>
        </w:tc>
      </w:tr>
    </w:tbl>
    <w:p w14:paraId="39498F1B" w14:textId="77777777" w:rsidR="005C5BE9" w:rsidRPr="00C84773" w:rsidRDefault="005C5BE9" w:rsidP="004F6FC0">
      <w:pPr>
        <w:spacing w:after="0" w:line="276" w:lineRule="auto"/>
        <w:jc w:val="both"/>
        <w:outlineLvl w:val="0"/>
        <w:rPr>
          <w:rFonts w:cstheme="minorHAnsi"/>
        </w:rPr>
      </w:pPr>
      <w:r w:rsidRPr="00C84773">
        <w:rPr>
          <w:rFonts w:cstheme="minorHAnsi"/>
          <w:b/>
        </w:rPr>
        <w:t xml:space="preserve">Important : </w:t>
      </w:r>
      <w:r w:rsidRPr="00C84773">
        <w:rPr>
          <w:rFonts w:cstheme="minorHAnsi"/>
        </w:rPr>
        <w:t>Seront systématiquement éliminées à l’issue de cette phase toutes les offres ayant obtenu une note technique inférieure à la note technique minimale de 70 points qui représente 70% de la note maximale des offres techniques (100 points). Les offres techniques seront évaluées sur la base de leur degré de réponse aux termes de références.</w:t>
      </w:r>
    </w:p>
    <w:p w14:paraId="5603DABF" w14:textId="77777777" w:rsidR="005C5BE9" w:rsidRPr="00C84773" w:rsidRDefault="005C5BE9" w:rsidP="004F6FC0">
      <w:pPr>
        <w:spacing w:after="0" w:line="276" w:lineRule="auto"/>
        <w:jc w:val="both"/>
        <w:outlineLvl w:val="0"/>
        <w:rPr>
          <w:rFonts w:cstheme="minorHAnsi"/>
          <w:kern w:val="28"/>
        </w:rPr>
      </w:pPr>
    </w:p>
    <w:p w14:paraId="6CEBA65A" w14:textId="77777777" w:rsidR="005C5BE9" w:rsidRPr="00C84773" w:rsidRDefault="005C5BE9" w:rsidP="004F6FC0">
      <w:pPr>
        <w:autoSpaceDE w:val="0"/>
        <w:autoSpaceDN w:val="0"/>
        <w:adjustRightInd w:val="0"/>
        <w:spacing w:after="0" w:line="276" w:lineRule="auto"/>
        <w:jc w:val="both"/>
        <w:rPr>
          <w:rFonts w:cstheme="minorHAnsi"/>
          <w:b/>
          <w:bCs/>
          <w:kern w:val="28"/>
        </w:rPr>
      </w:pPr>
      <w:r w:rsidRPr="00C84773">
        <w:rPr>
          <w:rFonts w:cstheme="minorHAnsi"/>
          <w:b/>
          <w:bCs/>
          <w:kern w:val="28"/>
        </w:rPr>
        <w:t>Phase 2 : Analyse financière comparative des offres :</w:t>
      </w:r>
    </w:p>
    <w:p w14:paraId="2759CA26" w14:textId="77777777" w:rsidR="005C5BE9" w:rsidRPr="00C84773" w:rsidRDefault="005C5BE9" w:rsidP="004F6FC0">
      <w:pPr>
        <w:spacing w:after="0" w:line="276" w:lineRule="auto"/>
        <w:jc w:val="both"/>
        <w:outlineLvl w:val="0"/>
        <w:rPr>
          <w:rFonts w:cstheme="minorHAnsi"/>
        </w:rPr>
      </w:pPr>
      <w:r w:rsidRPr="00C84773">
        <w:rPr>
          <w:rFonts w:cstheme="minorHAnsi"/>
        </w:rPr>
        <w:t>A l’issue de cette phase, chaque offre financière sera dotée d’une note (F) sur 100.</w:t>
      </w:r>
    </w:p>
    <w:p w14:paraId="3AACEC98" w14:textId="1316AC13" w:rsidR="005C5BE9" w:rsidRPr="00C84773" w:rsidRDefault="005C5BE9" w:rsidP="004F6FC0">
      <w:pPr>
        <w:spacing w:after="0" w:line="276" w:lineRule="auto"/>
        <w:jc w:val="both"/>
        <w:outlineLvl w:val="0"/>
        <w:rPr>
          <w:rFonts w:cstheme="minorHAnsi"/>
        </w:rPr>
      </w:pPr>
      <w:r w:rsidRPr="00C84773">
        <w:rPr>
          <w:rFonts w:cstheme="minorHAnsi"/>
        </w:rPr>
        <w:lastRenderedPageBreak/>
        <w:t>La note 100 sera attribuée à l’offre valable techniquement et le moins-disant. Pour les autres offres, la note sera calculée au moyen de la formule suivante :</w:t>
      </w:r>
    </w:p>
    <w:p w14:paraId="16FD666D" w14:textId="77777777" w:rsidR="005C5BE9" w:rsidRPr="00C84773" w:rsidRDefault="005C5BE9" w:rsidP="004F6FC0">
      <w:pPr>
        <w:spacing w:after="0" w:line="276" w:lineRule="auto"/>
        <w:ind w:left="720"/>
        <w:jc w:val="both"/>
        <w:outlineLvl w:val="0"/>
        <w:rPr>
          <w:rFonts w:cstheme="minorHAnsi"/>
        </w:rPr>
      </w:pPr>
    </w:p>
    <w:tbl>
      <w:tblPr>
        <w:tblW w:w="0" w:type="auto"/>
        <w:tblLook w:val="00A0" w:firstRow="1" w:lastRow="0" w:firstColumn="1" w:lastColumn="0" w:noHBand="0" w:noVBand="0"/>
      </w:tblPr>
      <w:tblGrid>
        <w:gridCol w:w="1931"/>
        <w:gridCol w:w="7141"/>
      </w:tblGrid>
      <w:tr w:rsidR="005C5BE9" w:rsidRPr="00C84773" w14:paraId="23877A13" w14:textId="77777777" w:rsidTr="00A4621F">
        <w:trPr>
          <w:trHeight w:val="717"/>
        </w:trPr>
        <w:tc>
          <w:tcPr>
            <w:tcW w:w="1951" w:type="dxa"/>
          </w:tcPr>
          <w:p w14:paraId="124F29F5" w14:textId="77777777" w:rsidR="005C5BE9" w:rsidRPr="00C84773" w:rsidRDefault="005C5BE9" w:rsidP="004F6FC0">
            <w:pPr>
              <w:spacing w:after="0" w:line="276" w:lineRule="auto"/>
              <w:jc w:val="both"/>
              <w:outlineLvl w:val="0"/>
              <w:rPr>
                <w:rFonts w:cstheme="minorHAnsi"/>
                <w:bCs/>
              </w:rPr>
            </w:pPr>
            <w:r w:rsidRPr="00C84773">
              <w:rPr>
                <w:rFonts w:cstheme="minorHAnsi"/>
                <w:bCs/>
              </w:rPr>
              <w:t>F= 100 *</w:t>
            </w:r>
            <w:proofErr w:type="spellStart"/>
            <w:r w:rsidRPr="00C84773">
              <w:rPr>
                <w:rFonts w:cstheme="minorHAnsi"/>
                <w:bCs/>
              </w:rPr>
              <w:t>Pmin</w:t>
            </w:r>
            <w:proofErr w:type="spellEnd"/>
            <w:r w:rsidRPr="00C84773">
              <w:rPr>
                <w:rFonts w:cstheme="minorHAnsi"/>
                <w:bCs/>
              </w:rPr>
              <w:t>/P</w:t>
            </w:r>
          </w:p>
        </w:tc>
        <w:tc>
          <w:tcPr>
            <w:tcW w:w="7261" w:type="dxa"/>
          </w:tcPr>
          <w:p w14:paraId="020964FD" w14:textId="399B2588" w:rsidR="005C5BE9" w:rsidRPr="00C84773" w:rsidRDefault="005C5BE9" w:rsidP="004F6FC0">
            <w:pPr>
              <w:spacing w:after="0" w:line="276" w:lineRule="auto"/>
              <w:jc w:val="both"/>
              <w:rPr>
                <w:rFonts w:cstheme="minorHAnsi"/>
                <w:bCs/>
                <w:i/>
                <w:iCs/>
              </w:rPr>
            </w:pPr>
            <w:r w:rsidRPr="00C84773">
              <w:rPr>
                <w:rFonts w:cstheme="minorHAnsi"/>
                <w:bCs/>
                <w:i/>
                <w:iCs/>
              </w:rPr>
              <w:t>P : Prix de l’offre</w:t>
            </w:r>
            <w:proofErr w:type="gramStart"/>
            <w:r w:rsidRPr="00C84773">
              <w:rPr>
                <w:rFonts w:cstheme="minorHAnsi"/>
                <w:bCs/>
                <w:i/>
                <w:iCs/>
              </w:rPr>
              <w:t> ;</w:t>
            </w:r>
            <w:proofErr w:type="spellStart"/>
            <w:r w:rsidRPr="00C84773">
              <w:rPr>
                <w:rFonts w:cstheme="minorHAnsi"/>
                <w:bCs/>
                <w:i/>
                <w:iCs/>
              </w:rPr>
              <w:t>Pmin</w:t>
            </w:r>
            <w:proofErr w:type="spellEnd"/>
            <w:proofErr w:type="gramEnd"/>
            <w:r w:rsidRPr="00C84773">
              <w:rPr>
                <w:rFonts w:cstheme="minorHAnsi"/>
                <w:bCs/>
                <w:i/>
                <w:iCs/>
              </w:rPr>
              <w:t> : Prix de l’offre valable techniquement et le moins- disant.</w:t>
            </w:r>
          </w:p>
          <w:p w14:paraId="3D73EE3D" w14:textId="77777777" w:rsidR="005C5BE9" w:rsidRPr="00C84773" w:rsidRDefault="005C5BE9" w:rsidP="004F6FC0">
            <w:pPr>
              <w:spacing w:after="0" w:line="276" w:lineRule="auto"/>
              <w:jc w:val="both"/>
              <w:rPr>
                <w:rFonts w:cstheme="minorHAnsi"/>
                <w:bCs/>
              </w:rPr>
            </w:pPr>
          </w:p>
        </w:tc>
      </w:tr>
    </w:tbl>
    <w:p w14:paraId="1F62E234" w14:textId="77777777" w:rsidR="005C5BE9" w:rsidRPr="00C84773" w:rsidRDefault="005C5BE9" w:rsidP="004F6FC0">
      <w:pPr>
        <w:autoSpaceDE w:val="0"/>
        <w:autoSpaceDN w:val="0"/>
        <w:adjustRightInd w:val="0"/>
        <w:spacing w:after="0" w:line="276" w:lineRule="auto"/>
        <w:jc w:val="both"/>
        <w:rPr>
          <w:rFonts w:cstheme="minorHAnsi"/>
          <w:b/>
          <w:bCs/>
          <w:kern w:val="28"/>
        </w:rPr>
      </w:pPr>
      <w:r w:rsidRPr="00C84773">
        <w:rPr>
          <w:rFonts w:cstheme="minorHAnsi"/>
          <w:b/>
          <w:bCs/>
          <w:kern w:val="28"/>
        </w:rPr>
        <w:t>Phase 3 : Analyse technico-financière :</w:t>
      </w:r>
    </w:p>
    <w:p w14:paraId="2F8C9A51" w14:textId="77777777" w:rsidR="005C5BE9" w:rsidRPr="00C84773" w:rsidRDefault="005C5BE9" w:rsidP="004F6FC0">
      <w:pPr>
        <w:spacing w:after="0" w:line="276" w:lineRule="auto"/>
        <w:jc w:val="both"/>
        <w:outlineLvl w:val="0"/>
        <w:rPr>
          <w:rFonts w:cstheme="minorHAnsi"/>
        </w:rPr>
      </w:pPr>
      <w:r w:rsidRPr="00C84773">
        <w:rPr>
          <w:rFonts w:cstheme="minorHAnsi"/>
        </w:rPr>
        <w:t>Les notes technique (T) et financière (F) obtenues pour chaque candidat seront pondérées respectivement par les coefficients suivants :</w:t>
      </w:r>
    </w:p>
    <w:p w14:paraId="4008DC75" w14:textId="77777777" w:rsidR="005C5BE9" w:rsidRPr="00C84773" w:rsidRDefault="005C5BE9" w:rsidP="004F6FC0">
      <w:pPr>
        <w:spacing w:after="0" w:line="276" w:lineRule="auto"/>
        <w:jc w:val="both"/>
        <w:outlineLvl w:val="0"/>
        <w:rPr>
          <w:rFonts w:cstheme="minorHAnsi"/>
        </w:rPr>
      </w:pPr>
      <w:r w:rsidRPr="00C84773">
        <w:rPr>
          <w:rFonts w:cstheme="minorHAnsi"/>
        </w:rPr>
        <w:sym w:font="Wingdings" w:char="F0E0"/>
      </w:r>
      <w:r w:rsidRPr="00C84773">
        <w:rPr>
          <w:rFonts w:cstheme="minorHAnsi"/>
        </w:rPr>
        <w:t xml:space="preserve">80% pour l’offre technique </w:t>
      </w:r>
    </w:p>
    <w:p w14:paraId="2EFE55D6" w14:textId="77777777" w:rsidR="005C5BE9" w:rsidRPr="00C84773" w:rsidRDefault="005C5BE9" w:rsidP="004F6FC0">
      <w:pPr>
        <w:spacing w:after="0" w:line="276" w:lineRule="auto"/>
        <w:jc w:val="both"/>
        <w:outlineLvl w:val="0"/>
        <w:rPr>
          <w:rFonts w:cstheme="minorHAnsi"/>
        </w:rPr>
      </w:pPr>
      <w:r w:rsidRPr="00C84773">
        <w:rPr>
          <w:rFonts w:cstheme="minorHAnsi"/>
        </w:rPr>
        <w:sym w:font="Wingdings" w:char="F0E0"/>
      </w:r>
      <w:r w:rsidRPr="00C84773">
        <w:rPr>
          <w:rFonts w:cstheme="minorHAnsi"/>
        </w:rPr>
        <w:t>20% pour l’offre financière</w:t>
      </w:r>
    </w:p>
    <w:p w14:paraId="6E2FCAB5" w14:textId="77777777" w:rsidR="005C5BE9" w:rsidRPr="00C84773" w:rsidRDefault="005C5BE9" w:rsidP="004F6FC0">
      <w:pPr>
        <w:spacing w:after="0" w:line="276" w:lineRule="auto"/>
        <w:ind w:left="720"/>
        <w:jc w:val="both"/>
        <w:outlineLvl w:val="0"/>
        <w:rPr>
          <w:rFonts w:cstheme="minorHAnsi"/>
        </w:rPr>
      </w:pPr>
      <w:r w:rsidRPr="00C84773">
        <w:rPr>
          <w:rFonts w:cstheme="minorHAnsi"/>
        </w:rPr>
        <w:t>N= 0,8 * T + 0,2* F</w:t>
      </w:r>
    </w:p>
    <w:p w14:paraId="3A806509" w14:textId="77777777" w:rsidR="005C5BE9" w:rsidRPr="00C84773" w:rsidRDefault="005C5BE9" w:rsidP="004F6FC0">
      <w:pPr>
        <w:spacing w:after="0" w:line="276" w:lineRule="auto"/>
        <w:jc w:val="both"/>
        <w:outlineLvl w:val="0"/>
        <w:rPr>
          <w:rFonts w:cstheme="minorHAnsi"/>
        </w:rPr>
      </w:pPr>
      <w:r w:rsidRPr="00C84773">
        <w:rPr>
          <w:rFonts w:cstheme="minorHAnsi"/>
        </w:rPr>
        <w:t xml:space="preserve">Le contrat sera adjugé à l’offre ayant obtenu la note « N » la plus élevée. </w:t>
      </w:r>
    </w:p>
    <w:p w14:paraId="6AB0D7AB" w14:textId="77777777" w:rsidR="005C5BE9" w:rsidRPr="00C84773" w:rsidRDefault="005C5BE9" w:rsidP="004F6FC0">
      <w:pPr>
        <w:spacing w:after="0" w:line="276" w:lineRule="auto"/>
        <w:jc w:val="both"/>
        <w:outlineLvl w:val="0"/>
        <w:rPr>
          <w:rFonts w:cstheme="minorHAnsi"/>
        </w:rPr>
      </w:pPr>
    </w:p>
    <w:p w14:paraId="1D4EAD50" w14:textId="40FBD3BA" w:rsidR="005C5BE9" w:rsidRPr="00C84773" w:rsidRDefault="00F55C76" w:rsidP="004F6FC0">
      <w:pPr>
        <w:shd w:val="clear" w:color="auto" w:fill="9CC2E5"/>
        <w:spacing w:after="0" w:line="276" w:lineRule="auto"/>
        <w:jc w:val="both"/>
        <w:rPr>
          <w:rFonts w:eastAsia="Times New Roman" w:cstheme="minorHAnsi"/>
          <w:b/>
          <w:bCs/>
          <w:lang w:eastAsia="fr-FR"/>
        </w:rPr>
      </w:pPr>
      <w:r w:rsidRPr="00C84773">
        <w:rPr>
          <w:rFonts w:eastAsia="Times New Roman" w:cstheme="minorHAnsi"/>
          <w:b/>
          <w:bCs/>
          <w:lang w:eastAsia="fr-FR"/>
        </w:rPr>
        <w:t>1</w:t>
      </w:r>
      <w:r w:rsidR="00AC45A4" w:rsidRPr="00C84773">
        <w:rPr>
          <w:rFonts w:eastAsia="Times New Roman" w:cstheme="minorHAnsi"/>
          <w:b/>
          <w:bCs/>
          <w:lang w:eastAsia="fr-FR"/>
        </w:rPr>
        <w:t>1</w:t>
      </w:r>
      <w:r w:rsidR="005C5BE9" w:rsidRPr="00C84773">
        <w:rPr>
          <w:rFonts w:eastAsia="Times New Roman" w:cstheme="minorHAnsi"/>
          <w:b/>
          <w:bCs/>
          <w:lang w:eastAsia="fr-FR"/>
        </w:rPr>
        <w:t>. Soumission des candidatures </w:t>
      </w:r>
    </w:p>
    <w:p w14:paraId="4D6F8E7D" w14:textId="59D6FC41" w:rsidR="005C5BE9" w:rsidRPr="00C84773" w:rsidRDefault="005C5BE9" w:rsidP="004F6FC0">
      <w:pPr>
        <w:spacing w:after="0" w:line="276" w:lineRule="auto"/>
        <w:jc w:val="both"/>
        <w:rPr>
          <w:rFonts w:cstheme="minorHAnsi"/>
          <w:b/>
          <w:bCs/>
        </w:rPr>
      </w:pPr>
      <w:r w:rsidRPr="00C84773">
        <w:rPr>
          <w:rFonts w:cstheme="minorHAnsi"/>
          <w:b/>
          <w:bCs/>
        </w:rPr>
        <w:t xml:space="preserve">Pour soumettre votre candidature, veuillez utiliser le lien suivant </w:t>
      </w:r>
    </w:p>
    <w:p w14:paraId="4BBA2674" w14:textId="05E39249" w:rsidR="005C5BE9" w:rsidRDefault="005062CE" w:rsidP="004F6FC0">
      <w:pPr>
        <w:spacing w:after="0" w:line="276" w:lineRule="auto"/>
        <w:jc w:val="both"/>
        <w:rPr>
          <w:rFonts w:cstheme="minorHAnsi"/>
        </w:rPr>
      </w:pPr>
      <w:hyperlink r:id="rId10" w:history="1">
        <w:r w:rsidRPr="008B546F">
          <w:rPr>
            <w:rStyle w:val="Hyperlink"/>
            <w:rFonts w:cstheme="minorHAnsi"/>
          </w:rPr>
          <w:t>https://secure.dc7.pageuppeople.com/apply/671/gateway/Default.aspx?c=apply&amp;sJobIDs=577935&amp;SourceTypeID=796&amp;sLanguage=en-us</w:t>
        </w:r>
      </w:hyperlink>
    </w:p>
    <w:p w14:paraId="594B085A" w14:textId="77777777" w:rsidR="005062CE" w:rsidRPr="00C84773" w:rsidRDefault="005062CE" w:rsidP="004F6FC0">
      <w:pPr>
        <w:spacing w:after="0" w:line="276" w:lineRule="auto"/>
        <w:jc w:val="both"/>
        <w:rPr>
          <w:rFonts w:cstheme="minorHAnsi"/>
        </w:rPr>
      </w:pPr>
    </w:p>
    <w:p w14:paraId="3F621033" w14:textId="629EB3D8" w:rsidR="005C5BE9" w:rsidRPr="00C84773" w:rsidRDefault="005C5BE9" w:rsidP="004F6FC0">
      <w:pPr>
        <w:spacing w:after="0" w:line="276" w:lineRule="auto"/>
        <w:jc w:val="both"/>
        <w:rPr>
          <w:rFonts w:cstheme="minorHAnsi"/>
        </w:rPr>
      </w:pPr>
      <w:r w:rsidRPr="00C84773">
        <w:rPr>
          <w:rFonts w:cstheme="minorHAnsi"/>
        </w:rPr>
        <w:t xml:space="preserve">Pour avoir les Termes de Référence détaillés ou pour toute question concernant cette consultation, prière de contacter Mme Dominique Brunet </w:t>
      </w:r>
      <w:hyperlink r:id="rId11" w:history="1">
        <w:r w:rsidR="005C7E8F" w:rsidRPr="009F00DA">
          <w:rPr>
            <w:rStyle w:val="Hyperlink"/>
            <w:rFonts w:cstheme="minorHAnsi"/>
          </w:rPr>
          <w:t>dbrunet@unicef.org</w:t>
        </w:r>
      </w:hyperlink>
      <w:r w:rsidR="005C7E8F">
        <w:rPr>
          <w:rFonts w:cstheme="minorHAnsi"/>
        </w:rPr>
        <w:t xml:space="preserve"> </w:t>
      </w:r>
      <w:r w:rsidRPr="00C84773">
        <w:rPr>
          <w:rFonts w:cstheme="minorHAnsi"/>
        </w:rPr>
        <w:t xml:space="preserve"> </w:t>
      </w:r>
    </w:p>
    <w:p w14:paraId="3014491F" w14:textId="77777777" w:rsidR="005C5BE9" w:rsidRPr="005C7E8F" w:rsidRDefault="005C5BE9" w:rsidP="004F6FC0">
      <w:pPr>
        <w:spacing w:before="240" w:after="240" w:line="276" w:lineRule="auto"/>
        <w:jc w:val="both"/>
        <w:rPr>
          <w:rFonts w:eastAsia="Times New Roman" w:cstheme="minorHAnsi"/>
          <w:sz w:val="20"/>
          <w:szCs w:val="20"/>
        </w:rPr>
      </w:pPr>
      <w:r w:rsidRPr="005C7E8F">
        <w:rPr>
          <w:rFonts w:eastAsia="Times New Roman" w:cstheme="minorHAnsi"/>
          <w:i/>
          <w:iCs/>
          <w:sz w:val="20"/>
          <w:szCs w:val="20"/>
        </w:rPr>
        <w:t>Les personnes engagées dans le cadre d'un contrat de consultant ou d'un contrat individuel ne seront pas considérés comme des "membres du personnel" au sens du statut et du règlement du personnel des Nations unies et des politiques et procédures de l'UNICEF, et n'auront pas droit aux avantages qui y sont prévus (tels que les droits à congé et la couverture d'assurance médicale). Leurs conditions d'emploi seront régies par leur contrat et par les Conditions générales des contrats pour les services de consultants et de contractants individuels. Les consultants et les contractants individuels sont responsables de la détermination de leurs obligations fiscales et du paiement de tout impôt et/ou taxe, conformément à la législation locale ou à toute autre législation applicable.</w:t>
      </w:r>
    </w:p>
    <w:p w14:paraId="154606E0" w14:textId="77777777" w:rsidR="005C5BE9" w:rsidRPr="005C7E8F" w:rsidRDefault="005C5BE9" w:rsidP="004F6FC0">
      <w:pPr>
        <w:spacing w:before="240" w:after="240" w:line="276" w:lineRule="auto"/>
        <w:jc w:val="both"/>
        <w:rPr>
          <w:rFonts w:eastAsia="Times New Roman" w:cstheme="minorHAnsi"/>
          <w:sz w:val="20"/>
          <w:szCs w:val="20"/>
        </w:rPr>
      </w:pPr>
      <w:r w:rsidRPr="005C7E8F">
        <w:rPr>
          <w:rFonts w:eastAsia="Times New Roman" w:cstheme="minorHAnsi"/>
          <w:i/>
          <w:iCs/>
          <w:sz w:val="20"/>
          <w:szCs w:val="20"/>
        </w:rPr>
        <w:t>L'UNICEF s'engage au respect de la diversité et à l'inclusion au sein de sa force de travail, encourage tous les candidats, sans distinction de sexe, de nationalité, de religion et d'origine ethnique, y compris les personnes handicapées, à postuler pour faire partie de l'organisation. Les candidatures féminines sont vivement encouragées.</w:t>
      </w:r>
    </w:p>
    <w:p w14:paraId="3A828655" w14:textId="77777777" w:rsidR="005C5BE9" w:rsidRPr="005C7E8F" w:rsidRDefault="005C5BE9" w:rsidP="004F6FC0">
      <w:pPr>
        <w:spacing w:before="240" w:after="240" w:line="276" w:lineRule="auto"/>
        <w:jc w:val="both"/>
        <w:rPr>
          <w:rFonts w:eastAsia="Times New Roman" w:cstheme="minorHAnsi"/>
          <w:i/>
          <w:iCs/>
          <w:sz w:val="20"/>
          <w:szCs w:val="20"/>
        </w:rPr>
      </w:pPr>
      <w:r w:rsidRPr="005C7E8F">
        <w:rPr>
          <w:rFonts w:eastAsia="Times New Roman" w:cstheme="minorHAnsi"/>
          <w:i/>
          <w:iCs/>
          <w:sz w:val="20"/>
          <w:szCs w:val="20"/>
        </w:rPr>
        <w:t>L'UNICEF applique une politique de tolérance zéro à l'égard des comportements incompatibles avec les buts et objectifs des Nations unies et de l'UNICEF, notamment l'exploitation et les abus sexuels, le harcèlement sexuel, l'abus d'autorité et la discrimination. L'UNICEF adhère également à des principes stricts de protection de l'enfance. Tous les candidats sélectionnés devront adhérer à ces normes et principes et seront donc soumis à une vérification rigoureuse de leurs références et de leurs antécédents. La vérification des antécédents comprendra la vérification des titres universitaires et des antécédents professionnels. Les candidats sélectionnés peuvent être amenés à fournir des informations supplémentaires pour effectuer une vérification des antécédents.</w:t>
      </w:r>
    </w:p>
    <w:p w14:paraId="3C68453E" w14:textId="77777777" w:rsidR="005C5BE9" w:rsidRPr="00C84773" w:rsidRDefault="005C5BE9" w:rsidP="004F6FC0">
      <w:pPr>
        <w:spacing w:before="100" w:beforeAutospacing="1" w:after="120" w:line="276" w:lineRule="auto"/>
        <w:jc w:val="both"/>
        <w:rPr>
          <w:rFonts w:cstheme="minorHAnsi"/>
        </w:rPr>
      </w:pPr>
    </w:p>
    <w:p w14:paraId="0735379D" w14:textId="77777777" w:rsidR="005C5BE9" w:rsidRPr="00C84773" w:rsidRDefault="005C5BE9" w:rsidP="004F6FC0">
      <w:pPr>
        <w:spacing w:after="0" w:line="276" w:lineRule="auto"/>
        <w:jc w:val="both"/>
        <w:rPr>
          <w:rFonts w:cstheme="minorHAnsi"/>
          <w:b/>
          <w:bCs/>
        </w:rPr>
      </w:pPr>
    </w:p>
    <w:p w14:paraId="2505ED29" w14:textId="77777777" w:rsidR="000066ED" w:rsidRPr="00C84773" w:rsidRDefault="000066ED" w:rsidP="004F6FC0">
      <w:pPr>
        <w:autoSpaceDE w:val="0"/>
        <w:autoSpaceDN w:val="0"/>
        <w:adjustRightInd w:val="0"/>
        <w:spacing w:after="0" w:line="276" w:lineRule="auto"/>
        <w:jc w:val="both"/>
        <w:rPr>
          <w:rFonts w:cstheme="minorHAnsi"/>
        </w:rPr>
      </w:pPr>
    </w:p>
    <w:sectPr w:rsidR="000066ED" w:rsidRPr="00C8477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4919" w14:textId="77777777" w:rsidR="006F1306" w:rsidRDefault="006F1306" w:rsidP="004571F2">
      <w:pPr>
        <w:spacing w:after="0" w:line="240" w:lineRule="auto"/>
      </w:pPr>
      <w:r>
        <w:separator/>
      </w:r>
    </w:p>
  </w:endnote>
  <w:endnote w:type="continuationSeparator" w:id="0">
    <w:p w14:paraId="312571E2" w14:textId="77777777" w:rsidR="006F1306" w:rsidRDefault="006F1306" w:rsidP="0045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674552"/>
      <w:docPartObj>
        <w:docPartGallery w:val="Page Numbers (Bottom of Page)"/>
        <w:docPartUnique/>
      </w:docPartObj>
    </w:sdtPr>
    <w:sdtEndPr>
      <w:rPr>
        <w:rFonts w:ascii="Times New Roman" w:hAnsi="Times New Roman" w:cs="Times New Roman"/>
        <w:sz w:val="18"/>
        <w:szCs w:val="18"/>
      </w:r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217B217" w14:textId="7835C5F0" w:rsidR="005A6DF1" w:rsidRPr="005A6DF1" w:rsidRDefault="005A6DF1">
            <w:pPr>
              <w:pStyle w:val="Footer"/>
              <w:jc w:val="right"/>
              <w:rPr>
                <w:rFonts w:ascii="Times New Roman" w:hAnsi="Times New Roman" w:cs="Times New Roman"/>
                <w:sz w:val="18"/>
                <w:szCs w:val="18"/>
              </w:rPr>
            </w:pPr>
            <w:r w:rsidRPr="005A6DF1">
              <w:rPr>
                <w:rFonts w:ascii="Times New Roman" w:hAnsi="Times New Roman" w:cs="Times New Roman"/>
                <w:sz w:val="18"/>
                <w:szCs w:val="18"/>
              </w:rPr>
              <w:t xml:space="preserve">Page </w:t>
            </w:r>
            <w:r w:rsidRPr="005A6DF1">
              <w:rPr>
                <w:rFonts w:ascii="Times New Roman" w:hAnsi="Times New Roman" w:cs="Times New Roman"/>
                <w:b/>
                <w:bCs/>
                <w:sz w:val="18"/>
                <w:szCs w:val="18"/>
              </w:rPr>
              <w:fldChar w:fldCharType="begin"/>
            </w:r>
            <w:r w:rsidRPr="005A6DF1">
              <w:rPr>
                <w:rFonts w:ascii="Times New Roman" w:hAnsi="Times New Roman" w:cs="Times New Roman"/>
                <w:b/>
                <w:bCs/>
                <w:sz w:val="18"/>
                <w:szCs w:val="18"/>
              </w:rPr>
              <w:instrText xml:space="preserve"> PAGE </w:instrText>
            </w:r>
            <w:r w:rsidRPr="005A6DF1">
              <w:rPr>
                <w:rFonts w:ascii="Times New Roman" w:hAnsi="Times New Roman" w:cs="Times New Roman"/>
                <w:b/>
                <w:bCs/>
                <w:sz w:val="18"/>
                <w:szCs w:val="18"/>
              </w:rPr>
              <w:fldChar w:fldCharType="separate"/>
            </w:r>
            <w:r w:rsidRPr="005A6DF1">
              <w:rPr>
                <w:rFonts w:ascii="Times New Roman" w:hAnsi="Times New Roman" w:cs="Times New Roman"/>
                <w:b/>
                <w:bCs/>
                <w:noProof/>
                <w:sz w:val="18"/>
                <w:szCs w:val="18"/>
              </w:rPr>
              <w:t>2</w:t>
            </w:r>
            <w:r w:rsidRPr="005A6DF1">
              <w:rPr>
                <w:rFonts w:ascii="Times New Roman" w:hAnsi="Times New Roman" w:cs="Times New Roman"/>
                <w:b/>
                <w:bCs/>
                <w:sz w:val="18"/>
                <w:szCs w:val="18"/>
              </w:rPr>
              <w:fldChar w:fldCharType="end"/>
            </w:r>
            <w:r w:rsidRPr="005A6DF1">
              <w:rPr>
                <w:rFonts w:ascii="Times New Roman" w:hAnsi="Times New Roman" w:cs="Times New Roman"/>
                <w:sz w:val="18"/>
                <w:szCs w:val="18"/>
              </w:rPr>
              <w:t xml:space="preserve"> of </w:t>
            </w:r>
            <w:r w:rsidRPr="005A6DF1">
              <w:rPr>
                <w:rFonts w:ascii="Times New Roman" w:hAnsi="Times New Roman" w:cs="Times New Roman"/>
                <w:b/>
                <w:bCs/>
                <w:sz w:val="18"/>
                <w:szCs w:val="18"/>
              </w:rPr>
              <w:fldChar w:fldCharType="begin"/>
            </w:r>
            <w:r w:rsidRPr="005A6DF1">
              <w:rPr>
                <w:rFonts w:ascii="Times New Roman" w:hAnsi="Times New Roman" w:cs="Times New Roman"/>
                <w:b/>
                <w:bCs/>
                <w:sz w:val="18"/>
                <w:szCs w:val="18"/>
              </w:rPr>
              <w:instrText xml:space="preserve"> NUMPAGES  </w:instrText>
            </w:r>
            <w:r w:rsidRPr="005A6DF1">
              <w:rPr>
                <w:rFonts w:ascii="Times New Roman" w:hAnsi="Times New Roman" w:cs="Times New Roman"/>
                <w:b/>
                <w:bCs/>
                <w:sz w:val="18"/>
                <w:szCs w:val="18"/>
              </w:rPr>
              <w:fldChar w:fldCharType="separate"/>
            </w:r>
            <w:r w:rsidRPr="005A6DF1">
              <w:rPr>
                <w:rFonts w:ascii="Times New Roman" w:hAnsi="Times New Roman" w:cs="Times New Roman"/>
                <w:b/>
                <w:bCs/>
                <w:noProof/>
                <w:sz w:val="18"/>
                <w:szCs w:val="18"/>
              </w:rPr>
              <w:t>2</w:t>
            </w:r>
            <w:r w:rsidRPr="005A6DF1">
              <w:rPr>
                <w:rFonts w:ascii="Times New Roman" w:hAnsi="Times New Roman" w:cs="Times New Roman"/>
                <w:b/>
                <w:bCs/>
                <w:sz w:val="18"/>
                <w:szCs w:val="18"/>
              </w:rPr>
              <w:fldChar w:fldCharType="end"/>
            </w:r>
          </w:p>
        </w:sdtContent>
      </w:sdt>
    </w:sdtContent>
  </w:sdt>
  <w:p w14:paraId="51CF3B8C" w14:textId="77777777" w:rsidR="00535129" w:rsidRDefault="0053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1FA0" w14:textId="77777777" w:rsidR="006F1306" w:rsidRDefault="006F1306" w:rsidP="004571F2">
      <w:pPr>
        <w:spacing w:after="0" w:line="240" w:lineRule="auto"/>
      </w:pPr>
      <w:r>
        <w:separator/>
      </w:r>
    </w:p>
  </w:footnote>
  <w:footnote w:type="continuationSeparator" w:id="0">
    <w:p w14:paraId="083B4D8C" w14:textId="77777777" w:rsidR="006F1306" w:rsidRDefault="006F1306" w:rsidP="004571F2">
      <w:pPr>
        <w:spacing w:after="0" w:line="240" w:lineRule="auto"/>
      </w:pPr>
      <w:r>
        <w:continuationSeparator/>
      </w:r>
    </w:p>
  </w:footnote>
  <w:footnote w:id="1">
    <w:p w14:paraId="26C780BB" w14:textId="77777777" w:rsidR="005C5BE9" w:rsidRPr="00921789" w:rsidRDefault="005C5BE9" w:rsidP="004F6FC0">
      <w:pPr>
        <w:pStyle w:val="FootnoteText"/>
        <w:jc w:val="both"/>
        <w:rPr>
          <w:color w:val="auto"/>
          <w:sz w:val="18"/>
          <w:szCs w:val="18"/>
        </w:rPr>
      </w:pPr>
      <w:r w:rsidRPr="00921789">
        <w:rPr>
          <w:rStyle w:val="FootnoteReference"/>
          <w:color w:val="auto"/>
          <w:sz w:val="18"/>
          <w:szCs w:val="18"/>
        </w:rPr>
        <w:footnoteRef/>
      </w:r>
      <w:r w:rsidRPr="00921789">
        <w:rPr>
          <w:color w:val="auto"/>
          <w:sz w:val="18"/>
          <w:szCs w:val="18"/>
        </w:rPr>
        <w:t xml:space="preserve"> </w:t>
      </w:r>
      <w:hyperlink r:id="rId1" w:history="1">
        <w:r w:rsidRPr="00921789">
          <w:rPr>
            <w:rStyle w:val="Hyperlink"/>
            <w:color w:val="auto"/>
            <w:sz w:val="18"/>
            <w:szCs w:val="18"/>
            <w:u w:val="none"/>
          </w:rPr>
          <w:t>https://www.unicef.org/press-releases/one-billion-children-extremely-high-risk-impacts-climate-crisis-unicef</w:t>
        </w:r>
      </w:hyperlink>
      <w:r w:rsidRPr="00921789">
        <w:rPr>
          <w:color w:val="auto"/>
          <w:sz w:val="18"/>
          <w:szCs w:val="18"/>
        </w:rPr>
        <w:t xml:space="preserve"> </w:t>
      </w:r>
    </w:p>
  </w:footnote>
  <w:footnote w:id="2">
    <w:p w14:paraId="4EA2580E" w14:textId="60776156" w:rsidR="005C5BE9" w:rsidRPr="00921789" w:rsidRDefault="005C5BE9" w:rsidP="004F6FC0">
      <w:pPr>
        <w:pStyle w:val="FootnoteText"/>
        <w:jc w:val="both"/>
        <w:rPr>
          <w:color w:val="auto"/>
          <w:sz w:val="18"/>
          <w:szCs w:val="18"/>
        </w:rPr>
      </w:pPr>
      <w:r w:rsidRPr="00921789">
        <w:rPr>
          <w:rStyle w:val="FootnoteReference"/>
          <w:color w:val="auto"/>
          <w:sz w:val="18"/>
          <w:szCs w:val="18"/>
        </w:rPr>
        <w:footnoteRef/>
      </w:r>
      <w:hyperlink r:id="rId2" w:history="1">
        <w:r w:rsidR="001A1538" w:rsidRPr="002F5947">
          <w:rPr>
            <w:rStyle w:val="Hyperlink"/>
            <w:sz w:val="18"/>
            <w:szCs w:val="18"/>
          </w:rPr>
          <w:t>https://www.unicef.org/media/91216/file/Healthy-Environments-for-Healthy-Children-Global-Programme-Framework-2021.pdf</w:t>
        </w:r>
      </w:hyperlink>
      <w:r w:rsidRPr="00921789">
        <w:rPr>
          <w:color w:val="auto"/>
          <w:sz w:val="18"/>
          <w:szCs w:val="18"/>
        </w:rPr>
        <w:t xml:space="preserve"> </w:t>
      </w:r>
    </w:p>
  </w:footnote>
  <w:footnote w:id="3">
    <w:p w14:paraId="4518EDEC" w14:textId="77777777" w:rsidR="005C5BE9" w:rsidRPr="00921789" w:rsidRDefault="005C5BE9" w:rsidP="004F6FC0">
      <w:pPr>
        <w:pStyle w:val="FootnoteText"/>
        <w:jc w:val="both"/>
        <w:rPr>
          <w:sz w:val="18"/>
          <w:szCs w:val="18"/>
        </w:rPr>
      </w:pPr>
      <w:r w:rsidRPr="00921789">
        <w:rPr>
          <w:rStyle w:val="FootnoteReference"/>
          <w:color w:val="auto"/>
          <w:sz w:val="18"/>
          <w:szCs w:val="18"/>
        </w:rPr>
        <w:footnoteRef/>
      </w:r>
      <w:r w:rsidRPr="00921789">
        <w:rPr>
          <w:color w:val="auto"/>
          <w:sz w:val="18"/>
          <w:szCs w:val="18"/>
        </w:rPr>
        <w:t xml:space="preserve"> </w:t>
      </w:r>
      <w:hyperlink r:id="rId3" w:history="1">
        <w:r w:rsidRPr="00921789">
          <w:rPr>
            <w:rStyle w:val="Hyperlink"/>
            <w:color w:val="auto"/>
            <w:sz w:val="18"/>
            <w:szCs w:val="18"/>
            <w:u w:val="none"/>
          </w:rPr>
          <w:t>https://www.unicef.org/reports/toxic-truth-childrens-exposure-to-lead-pollution-2020</w:t>
        </w:r>
      </w:hyperlink>
      <w:r w:rsidRPr="00921789">
        <w:rPr>
          <w:color w:val="auto"/>
          <w:sz w:val="18"/>
          <w:szCs w:val="18"/>
        </w:rPr>
        <w:t xml:space="preserve"> </w:t>
      </w:r>
    </w:p>
  </w:footnote>
  <w:footnote w:id="4">
    <w:p w14:paraId="5F095622" w14:textId="77777777" w:rsidR="009E1BF4" w:rsidRPr="00921789" w:rsidRDefault="009E1BF4" w:rsidP="004F6FC0">
      <w:pPr>
        <w:pStyle w:val="FootnoteText"/>
        <w:jc w:val="both"/>
        <w:rPr>
          <w:sz w:val="18"/>
          <w:szCs w:val="18"/>
          <w:lang w:val="fr-FR"/>
        </w:rPr>
      </w:pPr>
      <w:r w:rsidRPr="00921789">
        <w:rPr>
          <w:rStyle w:val="FootnoteReference"/>
          <w:sz w:val="18"/>
          <w:szCs w:val="18"/>
        </w:rPr>
        <w:footnoteRef/>
      </w:r>
      <w:r w:rsidRPr="00921789">
        <w:rPr>
          <w:sz w:val="18"/>
          <w:szCs w:val="18"/>
          <w:lang w:val="fr-FR"/>
        </w:rPr>
        <w:t xml:space="preserve"> Un niveau qui peut être associé à une diminution de l'intelligence chez les enfants, à des difficultés de comportement et à des problèmes d'apprentissage, selon l'OMS, et qui appelle à l'action selon les Centers for </w:t>
      </w:r>
      <w:proofErr w:type="spellStart"/>
      <w:r w:rsidRPr="00921789">
        <w:rPr>
          <w:sz w:val="18"/>
          <w:szCs w:val="18"/>
          <w:lang w:val="fr-FR"/>
        </w:rPr>
        <w:t>Disease</w:t>
      </w:r>
      <w:proofErr w:type="spellEnd"/>
      <w:r w:rsidRPr="00921789">
        <w:rPr>
          <w:sz w:val="18"/>
          <w:szCs w:val="18"/>
          <w:lang w:val="fr-FR"/>
        </w:rPr>
        <w:t xml:space="preserve"> Control and Prevention (CDC) des États-Unis.</w:t>
      </w:r>
    </w:p>
  </w:footnote>
  <w:footnote w:id="5">
    <w:p w14:paraId="59F6ECF1" w14:textId="0600C6B0" w:rsidR="002C1608" w:rsidRPr="002C1608" w:rsidRDefault="002C1608" w:rsidP="004F6FC0">
      <w:pPr>
        <w:pStyle w:val="FootnoteText"/>
        <w:jc w:val="both"/>
        <w:rPr>
          <w:lang w:val="fr-FR"/>
        </w:rPr>
      </w:pPr>
      <w:r w:rsidRPr="002C1608">
        <w:rPr>
          <w:rStyle w:val="FootnoteReference"/>
          <w:sz w:val="18"/>
          <w:szCs w:val="18"/>
        </w:rPr>
        <w:footnoteRef/>
      </w:r>
      <w:r w:rsidRPr="002C1608">
        <w:rPr>
          <w:sz w:val="18"/>
          <w:szCs w:val="18"/>
          <w:lang w:val="fr-FR"/>
        </w:rPr>
        <w:t xml:space="preserve"> Rapport d’analyse climatique du paysage des enfants, mai 2024, UNICEF.</w:t>
      </w:r>
    </w:p>
  </w:footnote>
  <w:footnote w:id="6">
    <w:p w14:paraId="1917437E" w14:textId="464703CD" w:rsidR="001A1538" w:rsidRPr="001A1538" w:rsidRDefault="001A1538">
      <w:pPr>
        <w:pStyle w:val="FootnoteText"/>
        <w:rPr>
          <w:sz w:val="18"/>
          <w:szCs w:val="18"/>
          <w:lang w:val="fr-FR"/>
        </w:rPr>
      </w:pPr>
      <w:r w:rsidRPr="001A1538">
        <w:rPr>
          <w:rStyle w:val="FootnoteReference"/>
          <w:sz w:val="18"/>
          <w:szCs w:val="18"/>
        </w:rPr>
        <w:footnoteRef/>
      </w:r>
      <w:r w:rsidRPr="001A1538">
        <w:rPr>
          <w:sz w:val="18"/>
          <w:szCs w:val="18"/>
          <w:lang w:val="fr-FR"/>
        </w:rPr>
        <w:t xml:space="preserve"> Note technique : évaluations de pays de la santé environnementale des enfants, octobre 2024, UNICEF.</w:t>
      </w:r>
    </w:p>
  </w:footnote>
  <w:footnote w:id="7">
    <w:p w14:paraId="35AAD1DB" w14:textId="04C0C3F0" w:rsidR="0083683D" w:rsidRPr="0083683D" w:rsidRDefault="0083683D" w:rsidP="0083683D">
      <w:pPr>
        <w:autoSpaceDE w:val="0"/>
        <w:autoSpaceDN w:val="0"/>
        <w:adjustRightInd w:val="0"/>
        <w:spacing w:after="0" w:line="240" w:lineRule="auto"/>
      </w:pPr>
      <w:r w:rsidRPr="0083683D">
        <w:rPr>
          <w:rStyle w:val="FootnoteReference"/>
          <w:rFonts w:ascii="Times New Roman" w:hAnsi="Times New Roman" w:cs="Times New Roman"/>
          <w:sz w:val="18"/>
          <w:szCs w:val="18"/>
        </w:rPr>
        <w:footnoteRef/>
      </w:r>
      <w:r w:rsidRPr="0083683D">
        <w:rPr>
          <w:rFonts w:ascii="Times New Roman" w:hAnsi="Times New Roman" w:cs="Times New Roman"/>
          <w:sz w:val="18"/>
          <w:szCs w:val="18"/>
        </w:rPr>
        <w:t xml:space="preserve"> Des progrès menacés</w:t>
      </w:r>
      <w:r>
        <w:rPr>
          <w:rFonts w:ascii="Times New Roman" w:hAnsi="Times New Roman" w:cs="Times New Roman"/>
          <w:sz w:val="18"/>
          <w:szCs w:val="18"/>
        </w:rPr>
        <w:t xml:space="preserve"> : </w:t>
      </w:r>
      <w:r w:rsidRPr="0083683D">
        <w:rPr>
          <w:rFonts w:ascii="Times New Roman" w:hAnsi="Times New Roman" w:cs="Times New Roman"/>
          <w:sz w:val="18"/>
          <w:szCs w:val="18"/>
        </w:rPr>
        <w:t>Les conséquences des changements climatiques</w:t>
      </w:r>
      <w:r>
        <w:rPr>
          <w:rFonts w:ascii="Times New Roman" w:hAnsi="Times New Roman" w:cs="Times New Roman"/>
          <w:sz w:val="18"/>
          <w:szCs w:val="18"/>
        </w:rPr>
        <w:t xml:space="preserve"> </w:t>
      </w:r>
      <w:r w:rsidRPr="0083683D">
        <w:rPr>
          <w:rFonts w:ascii="Times New Roman" w:hAnsi="Times New Roman" w:cs="Times New Roman"/>
          <w:sz w:val="18"/>
          <w:szCs w:val="18"/>
        </w:rPr>
        <w:t>sur la santé et le bien-être des enfants</w:t>
      </w:r>
      <w:r>
        <w:rPr>
          <w:rFonts w:ascii="Times New Roman" w:hAnsi="Times New Roman" w:cs="Times New Roman"/>
          <w:sz w:val="18"/>
          <w:szCs w:val="18"/>
        </w:rPr>
        <w:t>, juillet 2024, UNICEF.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4BBF"/>
    <w:multiLevelType w:val="hybridMultilevel"/>
    <w:tmpl w:val="4E2A3936"/>
    <w:lvl w:ilvl="0" w:tplc="040C0001">
      <w:start w:val="1"/>
      <w:numFmt w:val="bullet"/>
      <w:lvlText w:val=""/>
      <w:lvlJc w:val="left"/>
      <w:pPr>
        <w:ind w:left="1554" w:hanging="360"/>
      </w:pPr>
      <w:rPr>
        <w:rFonts w:ascii="Symbol" w:hAnsi="Symbol" w:hint="default"/>
      </w:rPr>
    </w:lvl>
    <w:lvl w:ilvl="1" w:tplc="040C0003" w:tentative="1">
      <w:start w:val="1"/>
      <w:numFmt w:val="bullet"/>
      <w:lvlText w:val="o"/>
      <w:lvlJc w:val="left"/>
      <w:pPr>
        <w:ind w:left="2274" w:hanging="360"/>
      </w:pPr>
      <w:rPr>
        <w:rFonts w:ascii="Courier New" w:hAnsi="Courier New" w:cs="Courier New" w:hint="default"/>
      </w:rPr>
    </w:lvl>
    <w:lvl w:ilvl="2" w:tplc="040C0005" w:tentative="1">
      <w:start w:val="1"/>
      <w:numFmt w:val="bullet"/>
      <w:lvlText w:val=""/>
      <w:lvlJc w:val="left"/>
      <w:pPr>
        <w:ind w:left="2994" w:hanging="360"/>
      </w:pPr>
      <w:rPr>
        <w:rFonts w:ascii="Wingdings" w:hAnsi="Wingdings" w:hint="default"/>
      </w:rPr>
    </w:lvl>
    <w:lvl w:ilvl="3" w:tplc="040C0001" w:tentative="1">
      <w:start w:val="1"/>
      <w:numFmt w:val="bullet"/>
      <w:lvlText w:val=""/>
      <w:lvlJc w:val="left"/>
      <w:pPr>
        <w:ind w:left="3714" w:hanging="360"/>
      </w:pPr>
      <w:rPr>
        <w:rFonts w:ascii="Symbol" w:hAnsi="Symbol" w:hint="default"/>
      </w:rPr>
    </w:lvl>
    <w:lvl w:ilvl="4" w:tplc="040C0003" w:tentative="1">
      <w:start w:val="1"/>
      <w:numFmt w:val="bullet"/>
      <w:lvlText w:val="o"/>
      <w:lvlJc w:val="left"/>
      <w:pPr>
        <w:ind w:left="4434" w:hanging="360"/>
      </w:pPr>
      <w:rPr>
        <w:rFonts w:ascii="Courier New" w:hAnsi="Courier New" w:cs="Courier New" w:hint="default"/>
      </w:rPr>
    </w:lvl>
    <w:lvl w:ilvl="5" w:tplc="040C0005" w:tentative="1">
      <w:start w:val="1"/>
      <w:numFmt w:val="bullet"/>
      <w:lvlText w:val=""/>
      <w:lvlJc w:val="left"/>
      <w:pPr>
        <w:ind w:left="5154" w:hanging="360"/>
      </w:pPr>
      <w:rPr>
        <w:rFonts w:ascii="Wingdings" w:hAnsi="Wingdings" w:hint="default"/>
      </w:rPr>
    </w:lvl>
    <w:lvl w:ilvl="6" w:tplc="040C0001" w:tentative="1">
      <w:start w:val="1"/>
      <w:numFmt w:val="bullet"/>
      <w:lvlText w:val=""/>
      <w:lvlJc w:val="left"/>
      <w:pPr>
        <w:ind w:left="5874" w:hanging="360"/>
      </w:pPr>
      <w:rPr>
        <w:rFonts w:ascii="Symbol" w:hAnsi="Symbol" w:hint="default"/>
      </w:rPr>
    </w:lvl>
    <w:lvl w:ilvl="7" w:tplc="040C0003" w:tentative="1">
      <w:start w:val="1"/>
      <w:numFmt w:val="bullet"/>
      <w:lvlText w:val="o"/>
      <w:lvlJc w:val="left"/>
      <w:pPr>
        <w:ind w:left="6594" w:hanging="360"/>
      </w:pPr>
      <w:rPr>
        <w:rFonts w:ascii="Courier New" w:hAnsi="Courier New" w:cs="Courier New" w:hint="default"/>
      </w:rPr>
    </w:lvl>
    <w:lvl w:ilvl="8" w:tplc="040C0005" w:tentative="1">
      <w:start w:val="1"/>
      <w:numFmt w:val="bullet"/>
      <w:lvlText w:val=""/>
      <w:lvlJc w:val="left"/>
      <w:pPr>
        <w:ind w:left="7314" w:hanging="360"/>
      </w:pPr>
      <w:rPr>
        <w:rFonts w:ascii="Wingdings" w:hAnsi="Wingdings" w:hint="default"/>
      </w:rPr>
    </w:lvl>
  </w:abstractNum>
  <w:abstractNum w:abstractNumId="1" w15:restartNumberingAfterBreak="0">
    <w:nsid w:val="04252DC2"/>
    <w:multiLevelType w:val="hybridMultilevel"/>
    <w:tmpl w:val="507CF6EA"/>
    <w:lvl w:ilvl="0" w:tplc="883E3862">
      <w:start w:val="2"/>
      <w:numFmt w:val="bullet"/>
      <w:lvlText w:val="-"/>
      <w:lvlJc w:val="left"/>
      <w:pPr>
        <w:ind w:left="360" w:hanging="360"/>
      </w:pPr>
      <w:rPr>
        <w:rFonts w:ascii="Calibri" w:eastAsia="Calibri" w:hAnsi="Calibri" w:cs="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DB61F3"/>
    <w:multiLevelType w:val="hybridMultilevel"/>
    <w:tmpl w:val="E19CBA5E"/>
    <w:lvl w:ilvl="0" w:tplc="546E8BB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6854CD6"/>
    <w:multiLevelType w:val="hybridMultilevel"/>
    <w:tmpl w:val="8DFEE882"/>
    <w:lvl w:ilvl="0" w:tplc="883E3862">
      <w:start w:val="2"/>
      <w:numFmt w:val="bullet"/>
      <w:lvlText w:val="-"/>
      <w:lvlJc w:val="left"/>
      <w:pPr>
        <w:ind w:left="360" w:hanging="360"/>
      </w:pPr>
      <w:rPr>
        <w:rFonts w:ascii="Calibri" w:eastAsia="Calibri" w:hAnsi="Calibri" w:cs="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016DED"/>
    <w:multiLevelType w:val="hybridMultilevel"/>
    <w:tmpl w:val="DFCAFE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0F4C03"/>
    <w:multiLevelType w:val="hybridMultilevel"/>
    <w:tmpl w:val="AD2266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092879E2"/>
    <w:multiLevelType w:val="hybridMultilevel"/>
    <w:tmpl w:val="62561C2C"/>
    <w:lvl w:ilvl="0" w:tplc="E1562104">
      <w:start w:val="1"/>
      <w:numFmt w:val="lowerRoman"/>
      <w:lvlText w:val="%1."/>
      <w:lvlJc w:val="righ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C341E3"/>
    <w:multiLevelType w:val="hybridMultilevel"/>
    <w:tmpl w:val="BB8A1302"/>
    <w:lvl w:ilvl="0" w:tplc="7F509F68">
      <w:start w:val="1"/>
      <w:numFmt w:val="bullet"/>
      <w:lvlText w:val="•"/>
      <w:lvlJc w:val="left"/>
      <w:pPr>
        <w:tabs>
          <w:tab w:val="num" w:pos="720"/>
        </w:tabs>
        <w:ind w:left="720" w:hanging="360"/>
      </w:pPr>
      <w:rPr>
        <w:rFonts w:ascii="Arial" w:hAnsi="Arial" w:hint="default"/>
      </w:rPr>
    </w:lvl>
    <w:lvl w:ilvl="1" w:tplc="C6BC9F0E">
      <w:numFmt w:val="bullet"/>
      <w:lvlText w:val="•"/>
      <w:lvlJc w:val="left"/>
      <w:pPr>
        <w:tabs>
          <w:tab w:val="num" w:pos="1440"/>
        </w:tabs>
        <w:ind w:left="1440" w:hanging="360"/>
      </w:pPr>
      <w:rPr>
        <w:rFonts w:ascii="Arial" w:hAnsi="Arial" w:hint="default"/>
      </w:rPr>
    </w:lvl>
    <w:lvl w:ilvl="2" w:tplc="481CC646" w:tentative="1">
      <w:start w:val="1"/>
      <w:numFmt w:val="bullet"/>
      <w:lvlText w:val="•"/>
      <w:lvlJc w:val="left"/>
      <w:pPr>
        <w:tabs>
          <w:tab w:val="num" w:pos="2160"/>
        </w:tabs>
        <w:ind w:left="2160" w:hanging="360"/>
      </w:pPr>
      <w:rPr>
        <w:rFonts w:ascii="Arial" w:hAnsi="Arial" w:hint="default"/>
      </w:rPr>
    </w:lvl>
    <w:lvl w:ilvl="3" w:tplc="0770B906" w:tentative="1">
      <w:start w:val="1"/>
      <w:numFmt w:val="bullet"/>
      <w:lvlText w:val="•"/>
      <w:lvlJc w:val="left"/>
      <w:pPr>
        <w:tabs>
          <w:tab w:val="num" w:pos="2880"/>
        </w:tabs>
        <w:ind w:left="2880" w:hanging="360"/>
      </w:pPr>
      <w:rPr>
        <w:rFonts w:ascii="Arial" w:hAnsi="Arial" w:hint="default"/>
      </w:rPr>
    </w:lvl>
    <w:lvl w:ilvl="4" w:tplc="AAD42520" w:tentative="1">
      <w:start w:val="1"/>
      <w:numFmt w:val="bullet"/>
      <w:lvlText w:val="•"/>
      <w:lvlJc w:val="left"/>
      <w:pPr>
        <w:tabs>
          <w:tab w:val="num" w:pos="3600"/>
        </w:tabs>
        <w:ind w:left="3600" w:hanging="360"/>
      </w:pPr>
      <w:rPr>
        <w:rFonts w:ascii="Arial" w:hAnsi="Arial" w:hint="default"/>
      </w:rPr>
    </w:lvl>
    <w:lvl w:ilvl="5" w:tplc="7F5EBE18" w:tentative="1">
      <w:start w:val="1"/>
      <w:numFmt w:val="bullet"/>
      <w:lvlText w:val="•"/>
      <w:lvlJc w:val="left"/>
      <w:pPr>
        <w:tabs>
          <w:tab w:val="num" w:pos="4320"/>
        </w:tabs>
        <w:ind w:left="4320" w:hanging="360"/>
      </w:pPr>
      <w:rPr>
        <w:rFonts w:ascii="Arial" w:hAnsi="Arial" w:hint="default"/>
      </w:rPr>
    </w:lvl>
    <w:lvl w:ilvl="6" w:tplc="2F40038E" w:tentative="1">
      <w:start w:val="1"/>
      <w:numFmt w:val="bullet"/>
      <w:lvlText w:val="•"/>
      <w:lvlJc w:val="left"/>
      <w:pPr>
        <w:tabs>
          <w:tab w:val="num" w:pos="5040"/>
        </w:tabs>
        <w:ind w:left="5040" w:hanging="360"/>
      </w:pPr>
      <w:rPr>
        <w:rFonts w:ascii="Arial" w:hAnsi="Arial" w:hint="default"/>
      </w:rPr>
    </w:lvl>
    <w:lvl w:ilvl="7" w:tplc="A21EF69E" w:tentative="1">
      <w:start w:val="1"/>
      <w:numFmt w:val="bullet"/>
      <w:lvlText w:val="•"/>
      <w:lvlJc w:val="left"/>
      <w:pPr>
        <w:tabs>
          <w:tab w:val="num" w:pos="5760"/>
        </w:tabs>
        <w:ind w:left="5760" w:hanging="360"/>
      </w:pPr>
      <w:rPr>
        <w:rFonts w:ascii="Arial" w:hAnsi="Arial" w:hint="default"/>
      </w:rPr>
    </w:lvl>
    <w:lvl w:ilvl="8" w:tplc="CB46B3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9D6F21"/>
    <w:multiLevelType w:val="hybridMultilevel"/>
    <w:tmpl w:val="238CFC04"/>
    <w:lvl w:ilvl="0" w:tplc="E1562104">
      <w:start w:val="1"/>
      <w:numFmt w:val="lowerRoman"/>
      <w:lvlText w:val="%1."/>
      <w:lvlJc w:val="right"/>
      <w:pPr>
        <w:ind w:left="720" w:hanging="360"/>
      </w:pPr>
      <w:rPr>
        <w:b w:val="0"/>
        <w:bCs w:val="0"/>
      </w:rPr>
    </w:lvl>
    <w:lvl w:ilvl="1" w:tplc="040C0019">
      <w:start w:val="1"/>
      <w:numFmt w:val="lowerLetter"/>
      <w:lvlText w:val="%2."/>
      <w:lvlJc w:val="left"/>
      <w:pPr>
        <w:ind w:left="1440" w:hanging="360"/>
      </w:pPr>
    </w:lvl>
    <w:lvl w:ilvl="2" w:tplc="8202E9A6">
      <w:start w:val="6"/>
      <w:numFmt w:val="bullet"/>
      <w:lvlText w:val="•"/>
      <w:lvlJc w:val="left"/>
      <w:pPr>
        <w:ind w:left="2676" w:hanging="696"/>
      </w:pPr>
      <w:rPr>
        <w:rFonts w:ascii="Times New Roman" w:eastAsia="Calibri"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F4A3868"/>
    <w:multiLevelType w:val="hybridMultilevel"/>
    <w:tmpl w:val="67BC0440"/>
    <w:lvl w:ilvl="0" w:tplc="5B52C3DC">
      <w:start w:val="1"/>
      <w:numFmt w:val="bullet"/>
      <w:lvlText w:val=""/>
      <w:lvlJc w:val="left"/>
      <w:pPr>
        <w:ind w:left="1440" w:hanging="360"/>
      </w:pPr>
      <w:rPr>
        <w:rFonts w:ascii="Symbol" w:hAnsi="Symbol"/>
      </w:rPr>
    </w:lvl>
    <w:lvl w:ilvl="1" w:tplc="62108196">
      <w:start w:val="1"/>
      <w:numFmt w:val="bullet"/>
      <w:lvlText w:val=""/>
      <w:lvlJc w:val="left"/>
      <w:pPr>
        <w:ind w:left="1440" w:hanging="360"/>
      </w:pPr>
      <w:rPr>
        <w:rFonts w:ascii="Symbol" w:hAnsi="Symbol"/>
      </w:rPr>
    </w:lvl>
    <w:lvl w:ilvl="2" w:tplc="F98C27E4">
      <w:start w:val="1"/>
      <w:numFmt w:val="bullet"/>
      <w:lvlText w:val=""/>
      <w:lvlJc w:val="left"/>
      <w:pPr>
        <w:ind w:left="1440" w:hanging="360"/>
      </w:pPr>
      <w:rPr>
        <w:rFonts w:ascii="Symbol" w:hAnsi="Symbol"/>
      </w:rPr>
    </w:lvl>
    <w:lvl w:ilvl="3" w:tplc="D98A0CCA">
      <w:start w:val="1"/>
      <w:numFmt w:val="bullet"/>
      <w:lvlText w:val=""/>
      <w:lvlJc w:val="left"/>
      <w:pPr>
        <w:ind w:left="1440" w:hanging="360"/>
      </w:pPr>
      <w:rPr>
        <w:rFonts w:ascii="Symbol" w:hAnsi="Symbol"/>
      </w:rPr>
    </w:lvl>
    <w:lvl w:ilvl="4" w:tplc="F9ACF3E8">
      <w:start w:val="1"/>
      <w:numFmt w:val="bullet"/>
      <w:lvlText w:val=""/>
      <w:lvlJc w:val="left"/>
      <w:pPr>
        <w:ind w:left="1440" w:hanging="360"/>
      </w:pPr>
      <w:rPr>
        <w:rFonts w:ascii="Symbol" w:hAnsi="Symbol"/>
      </w:rPr>
    </w:lvl>
    <w:lvl w:ilvl="5" w:tplc="9F68F242">
      <w:start w:val="1"/>
      <w:numFmt w:val="bullet"/>
      <w:lvlText w:val=""/>
      <w:lvlJc w:val="left"/>
      <w:pPr>
        <w:ind w:left="1440" w:hanging="360"/>
      </w:pPr>
      <w:rPr>
        <w:rFonts w:ascii="Symbol" w:hAnsi="Symbol"/>
      </w:rPr>
    </w:lvl>
    <w:lvl w:ilvl="6" w:tplc="52A27B86">
      <w:start w:val="1"/>
      <w:numFmt w:val="bullet"/>
      <w:lvlText w:val=""/>
      <w:lvlJc w:val="left"/>
      <w:pPr>
        <w:ind w:left="1440" w:hanging="360"/>
      </w:pPr>
      <w:rPr>
        <w:rFonts w:ascii="Symbol" w:hAnsi="Symbol"/>
      </w:rPr>
    </w:lvl>
    <w:lvl w:ilvl="7" w:tplc="2D683674">
      <w:start w:val="1"/>
      <w:numFmt w:val="bullet"/>
      <w:lvlText w:val=""/>
      <w:lvlJc w:val="left"/>
      <w:pPr>
        <w:ind w:left="1440" w:hanging="360"/>
      </w:pPr>
      <w:rPr>
        <w:rFonts w:ascii="Symbol" w:hAnsi="Symbol"/>
      </w:rPr>
    </w:lvl>
    <w:lvl w:ilvl="8" w:tplc="59F458CE">
      <w:start w:val="1"/>
      <w:numFmt w:val="bullet"/>
      <w:lvlText w:val=""/>
      <w:lvlJc w:val="left"/>
      <w:pPr>
        <w:ind w:left="1440" w:hanging="360"/>
      </w:pPr>
      <w:rPr>
        <w:rFonts w:ascii="Symbol" w:hAnsi="Symbol"/>
      </w:rPr>
    </w:lvl>
  </w:abstractNum>
  <w:abstractNum w:abstractNumId="10" w15:restartNumberingAfterBreak="0">
    <w:nsid w:val="19724E88"/>
    <w:multiLevelType w:val="hybridMultilevel"/>
    <w:tmpl w:val="092AE8B0"/>
    <w:lvl w:ilvl="0" w:tplc="33DCDDF8">
      <w:start w:val="1"/>
      <w:numFmt w:val="bullet"/>
      <w:lvlText w:val=""/>
      <w:lvlJc w:val="left"/>
      <w:pPr>
        <w:ind w:left="1440" w:hanging="360"/>
      </w:pPr>
      <w:rPr>
        <w:rFonts w:ascii="Symbol" w:hAnsi="Symbol"/>
      </w:rPr>
    </w:lvl>
    <w:lvl w:ilvl="1" w:tplc="26829A5C">
      <w:start w:val="1"/>
      <w:numFmt w:val="bullet"/>
      <w:lvlText w:val=""/>
      <w:lvlJc w:val="left"/>
      <w:pPr>
        <w:ind w:left="1440" w:hanging="360"/>
      </w:pPr>
      <w:rPr>
        <w:rFonts w:ascii="Symbol" w:hAnsi="Symbol"/>
      </w:rPr>
    </w:lvl>
    <w:lvl w:ilvl="2" w:tplc="4AEEF504">
      <w:start w:val="1"/>
      <w:numFmt w:val="bullet"/>
      <w:lvlText w:val=""/>
      <w:lvlJc w:val="left"/>
      <w:pPr>
        <w:ind w:left="1440" w:hanging="360"/>
      </w:pPr>
      <w:rPr>
        <w:rFonts w:ascii="Symbol" w:hAnsi="Symbol"/>
      </w:rPr>
    </w:lvl>
    <w:lvl w:ilvl="3" w:tplc="5B98466A">
      <w:start w:val="1"/>
      <w:numFmt w:val="bullet"/>
      <w:lvlText w:val=""/>
      <w:lvlJc w:val="left"/>
      <w:pPr>
        <w:ind w:left="1440" w:hanging="360"/>
      </w:pPr>
      <w:rPr>
        <w:rFonts w:ascii="Symbol" w:hAnsi="Symbol"/>
      </w:rPr>
    </w:lvl>
    <w:lvl w:ilvl="4" w:tplc="DE3C57BE">
      <w:start w:val="1"/>
      <w:numFmt w:val="bullet"/>
      <w:lvlText w:val=""/>
      <w:lvlJc w:val="left"/>
      <w:pPr>
        <w:ind w:left="1440" w:hanging="360"/>
      </w:pPr>
      <w:rPr>
        <w:rFonts w:ascii="Symbol" w:hAnsi="Symbol"/>
      </w:rPr>
    </w:lvl>
    <w:lvl w:ilvl="5" w:tplc="A1D63C52">
      <w:start w:val="1"/>
      <w:numFmt w:val="bullet"/>
      <w:lvlText w:val=""/>
      <w:lvlJc w:val="left"/>
      <w:pPr>
        <w:ind w:left="1440" w:hanging="360"/>
      </w:pPr>
      <w:rPr>
        <w:rFonts w:ascii="Symbol" w:hAnsi="Symbol"/>
      </w:rPr>
    </w:lvl>
    <w:lvl w:ilvl="6" w:tplc="92E83D74">
      <w:start w:val="1"/>
      <w:numFmt w:val="bullet"/>
      <w:lvlText w:val=""/>
      <w:lvlJc w:val="left"/>
      <w:pPr>
        <w:ind w:left="1440" w:hanging="360"/>
      </w:pPr>
      <w:rPr>
        <w:rFonts w:ascii="Symbol" w:hAnsi="Symbol"/>
      </w:rPr>
    </w:lvl>
    <w:lvl w:ilvl="7" w:tplc="EA043EDC">
      <w:start w:val="1"/>
      <w:numFmt w:val="bullet"/>
      <w:lvlText w:val=""/>
      <w:lvlJc w:val="left"/>
      <w:pPr>
        <w:ind w:left="1440" w:hanging="360"/>
      </w:pPr>
      <w:rPr>
        <w:rFonts w:ascii="Symbol" w:hAnsi="Symbol"/>
      </w:rPr>
    </w:lvl>
    <w:lvl w:ilvl="8" w:tplc="D5582DB2">
      <w:start w:val="1"/>
      <w:numFmt w:val="bullet"/>
      <w:lvlText w:val=""/>
      <w:lvlJc w:val="left"/>
      <w:pPr>
        <w:ind w:left="1440" w:hanging="360"/>
      </w:pPr>
      <w:rPr>
        <w:rFonts w:ascii="Symbol" w:hAnsi="Symbol"/>
      </w:rPr>
    </w:lvl>
  </w:abstractNum>
  <w:abstractNum w:abstractNumId="11" w15:restartNumberingAfterBreak="0">
    <w:nsid w:val="1A624A7E"/>
    <w:multiLevelType w:val="hybridMultilevel"/>
    <w:tmpl w:val="7DEADD9C"/>
    <w:lvl w:ilvl="0" w:tplc="883E3862">
      <w:start w:val="2"/>
      <w:numFmt w:val="bullet"/>
      <w:lvlText w:val="-"/>
      <w:lvlJc w:val="left"/>
      <w:pPr>
        <w:ind w:left="360" w:hanging="360"/>
      </w:pPr>
      <w:rPr>
        <w:rFonts w:ascii="Calibri" w:eastAsia="Calibri" w:hAnsi="Calibri" w:cs="Calibr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44476E8"/>
    <w:multiLevelType w:val="hybridMultilevel"/>
    <w:tmpl w:val="FAB453A2"/>
    <w:lvl w:ilvl="0" w:tplc="F984EBC4">
      <w:start w:val="1"/>
      <w:numFmt w:val="bullet"/>
      <w:lvlText w:val="•"/>
      <w:lvlJc w:val="left"/>
      <w:pPr>
        <w:tabs>
          <w:tab w:val="num" w:pos="720"/>
        </w:tabs>
        <w:ind w:left="720" w:hanging="360"/>
      </w:pPr>
      <w:rPr>
        <w:rFonts w:ascii="Arial" w:hAnsi="Arial" w:hint="default"/>
      </w:rPr>
    </w:lvl>
    <w:lvl w:ilvl="1" w:tplc="57C6D508" w:tentative="1">
      <w:start w:val="1"/>
      <w:numFmt w:val="bullet"/>
      <w:lvlText w:val="•"/>
      <w:lvlJc w:val="left"/>
      <w:pPr>
        <w:tabs>
          <w:tab w:val="num" w:pos="1440"/>
        </w:tabs>
        <w:ind w:left="1440" w:hanging="360"/>
      </w:pPr>
      <w:rPr>
        <w:rFonts w:ascii="Arial" w:hAnsi="Arial" w:hint="default"/>
      </w:rPr>
    </w:lvl>
    <w:lvl w:ilvl="2" w:tplc="2AC2A384" w:tentative="1">
      <w:start w:val="1"/>
      <w:numFmt w:val="bullet"/>
      <w:lvlText w:val="•"/>
      <w:lvlJc w:val="left"/>
      <w:pPr>
        <w:tabs>
          <w:tab w:val="num" w:pos="2160"/>
        </w:tabs>
        <w:ind w:left="2160" w:hanging="360"/>
      </w:pPr>
      <w:rPr>
        <w:rFonts w:ascii="Arial" w:hAnsi="Arial" w:hint="default"/>
      </w:rPr>
    </w:lvl>
    <w:lvl w:ilvl="3" w:tplc="A45A9222" w:tentative="1">
      <w:start w:val="1"/>
      <w:numFmt w:val="bullet"/>
      <w:lvlText w:val="•"/>
      <w:lvlJc w:val="left"/>
      <w:pPr>
        <w:tabs>
          <w:tab w:val="num" w:pos="2880"/>
        </w:tabs>
        <w:ind w:left="2880" w:hanging="360"/>
      </w:pPr>
      <w:rPr>
        <w:rFonts w:ascii="Arial" w:hAnsi="Arial" w:hint="default"/>
      </w:rPr>
    </w:lvl>
    <w:lvl w:ilvl="4" w:tplc="B9663370" w:tentative="1">
      <w:start w:val="1"/>
      <w:numFmt w:val="bullet"/>
      <w:lvlText w:val="•"/>
      <w:lvlJc w:val="left"/>
      <w:pPr>
        <w:tabs>
          <w:tab w:val="num" w:pos="3600"/>
        </w:tabs>
        <w:ind w:left="3600" w:hanging="360"/>
      </w:pPr>
      <w:rPr>
        <w:rFonts w:ascii="Arial" w:hAnsi="Arial" w:hint="default"/>
      </w:rPr>
    </w:lvl>
    <w:lvl w:ilvl="5" w:tplc="AC0AAB74" w:tentative="1">
      <w:start w:val="1"/>
      <w:numFmt w:val="bullet"/>
      <w:lvlText w:val="•"/>
      <w:lvlJc w:val="left"/>
      <w:pPr>
        <w:tabs>
          <w:tab w:val="num" w:pos="4320"/>
        </w:tabs>
        <w:ind w:left="4320" w:hanging="360"/>
      </w:pPr>
      <w:rPr>
        <w:rFonts w:ascii="Arial" w:hAnsi="Arial" w:hint="default"/>
      </w:rPr>
    </w:lvl>
    <w:lvl w:ilvl="6" w:tplc="F2D0D31E" w:tentative="1">
      <w:start w:val="1"/>
      <w:numFmt w:val="bullet"/>
      <w:lvlText w:val="•"/>
      <w:lvlJc w:val="left"/>
      <w:pPr>
        <w:tabs>
          <w:tab w:val="num" w:pos="5040"/>
        </w:tabs>
        <w:ind w:left="5040" w:hanging="360"/>
      </w:pPr>
      <w:rPr>
        <w:rFonts w:ascii="Arial" w:hAnsi="Arial" w:hint="default"/>
      </w:rPr>
    </w:lvl>
    <w:lvl w:ilvl="7" w:tplc="A6E88B38" w:tentative="1">
      <w:start w:val="1"/>
      <w:numFmt w:val="bullet"/>
      <w:lvlText w:val="•"/>
      <w:lvlJc w:val="left"/>
      <w:pPr>
        <w:tabs>
          <w:tab w:val="num" w:pos="5760"/>
        </w:tabs>
        <w:ind w:left="5760" w:hanging="360"/>
      </w:pPr>
      <w:rPr>
        <w:rFonts w:ascii="Arial" w:hAnsi="Arial" w:hint="default"/>
      </w:rPr>
    </w:lvl>
    <w:lvl w:ilvl="8" w:tplc="6766514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C03EFD"/>
    <w:multiLevelType w:val="hybridMultilevel"/>
    <w:tmpl w:val="DC94A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690060"/>
    <w:multiLevelType w:val="hybridMultilevel"/>
    <w:tmpl w:val="FFE81BBC"/>
    <w:lvl w:ilvl="0" w:tplc="040C000F">
      <w:start w:val="1"/>
      <w:numFmt w:val="decimal"/>
      <w:lvlText w:val="%1."/>
      <w:lvlJc w:val="left"/>
      <w:pPr>
        <w:ind w:left="773" w:hanging="360"/>
      </w:pPr>
      <w:rPr>
        <w:b w:val="0"/>
        <w:bCs w:val="0"/>
      </w:r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15" w15:restartNumberingAfterBreak="0">
    <w:nsid w:val="33E63190"/>
    <w:multiLevelType w:val="hybridMultilevel"/>
    <w:tmpl w:val="382E9B8E"/>
    <w:lvl w:ilvl="0" w:tplc="25DCABC6">
      <w:start w:val="1"/>
      <w:numFmt w:val="decimal"/>
      <w:lvlText w:val="%1."/>
      <w:lvlJc w:val="left"/>
      <w:pPr>
        <w:tabs>
          <w:tab w:val="num" w:pos="720"/>
        </w:tabs>
        <w:ind w:left="720" w:hanging="360"/>
      </w:pPr>
    </w:lvl>
    <w:lvl w:ilvl="1" w:tplc="791E1A2A">
      <w:start w:val="1"/>
      <w:numFmt w:val="decimal"/>
      <w:lvlText w:val="%2."/>
      <w:lvlJc w:val="left"/>
      <w:pPr>
        <w:tabs>
          <w:tab w:val="num" w:pos="1440"/>
        </w:tabs>
        <w:ind w:left="1440" w:hanging="360"/>
      </w:pPr>
    </w:lvl>
    <w:lvl w:ilvl="2" w:tplc="0B9468DE" w:tentative="1">
      <w:start w:val="1"/>
      <w:numFmt w:val="decimal"/>
      <w:lvlText w:val="%3."/>
      <w:lvlJc w:val="left"/>
      <w:pPr>
        <w:tabs>
          <w:tab w:val="num" w:pos="2160"/>
        </w:tabs>
        <w:ind w:left="2160" w:hanging="360"/>
      </w:pPr>
    </w:lvl>
    <w:lvl w:ilvl="3" w:tplc="9A6220BE" w:tentative="1">
      <w:start w:val="1"/>
      <w:numFmt w:val="decimal"/>
      <w:lvlText w:val="%4."/>
      <w:lvlJc w:val="left"/>
      <w:pPr>
        <w:tabs>
          <w:tab w:val="num" w:pos="2880"/>
        </w:tabs>
        <w:ind w:left="2880" w:hanging="360"/>
      </w:pPr>
    </w:lvl>
    <w:lvl w:ilvl="4" w:tplc="73F879F4" w:tentative="1">
      <w:start w:val="1"/>
      <w:numFmt w:val="decimal"/>
      <w:lvlText w:val="%5."/>
      <w:lvlJc w:val="left"/>
      <w:pPr>
        <w:tabs>
          <w:tab w:val="num" w:pos="3600"/>
        </w:tabs>
        <w:ind w:left="3600" w:hanging="360"/>
      </w:pPr>
    </w:lvl>
    <w:lvl w:ilvl="5" w:tplc="F1FE3708" w:tentative="1">
      <w:start w:val="1"/>
      <w:numFmt w:val="decimal"/>
      <w:lvlText w:val="%6."/>
      <w:lvlJc w:val="left"/>
      <w:pPr>
        <w:tabs>
          <w:tab w:val="num" w:pos="4320"/>
        </w:tabs>
        <w:ind w:left="4320" w:hanging="360"/>
      </w:pPr>
    </w:lvl>
    <w:lvl w:ilvl="6" w:tplc="8EEEC17A" w:tentative="1">
      <w:start w:val="1"/>
      <w:numFmt w:val="decimal"/>
      <w:lvlText w:val="%7."/>
      <w:lvlJc w:val="left"/>
      <w:pPr>
        <w:tabs>
          <w:tab w:val="num" w:pos="5040"/>
        </w:tabs>
        <w:ind w:left="5040" w:hanging="360"/>
      </w:pPr>
    </w:lvl>
    <w:lvl w:ilvl="7" w:tplc="FFDC3D24" w:tentative="1">
      <w:start w:val="1"/>
      <w:numFmt w:val="decimal"/>
      <w:lvlText w:val="%8."/>
      <w:lvlJc w:val="left"/>
      <w:pPr>
        <w:tabs>
          <w:tab w:val="num" w:pos="5760"/>
        </w:tabs>
        <w:ind w:left="5760" w:hanging="360"/>
      </w:pPr>
    </w:lvl>
    <w:lvl w:ilvl="8" w:tplc="ED36B4A0" w:tentative="1">
      <w:start w:val="1"/>
      <w:numFmt w:val="decimal"/>
      <w:lvlText w:val="%9."/>
      <w:lvlJc w:val="left"/>
      <w:pPr>
        <w:tabs>
          <w:tab w:val="num" w:pos="6480"/>
        </w:tabs>
        <w:ind w:left="6480" w:hanging="360"/>
      </w:pPr>
    </w:lvl>
  </w:abstractNum>
  <w:abstractNum w:abstractNumId="16" w15:restartNumberingAfterBreak="0">
    <w:nsid w:val="36C854D8"/>
    <w:multiLevelType w:val="hybridMultilevel"/>
    <w:tmpl w:val="6E6800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36E07A3B"/>
    <w:multiLevelType w:val="hybridMultilevel"/>
    <w:tmpl w:val="E0FC9EDA"/>
    <w:lvl w:ilvl="0" w:tplc="883E3862">
      <w:start w:val="2"/>
      <w:numFmt w:val="bullet"/>
      <w:lvlText w:val="-"/>
      <w:lvlJc w:val="left"/>
      <w:pPr>
        <w:ind w:left="360" w:hanging="360"/>
      </w:pPr>
      <w:rPr>
        <w:rFonts w:ascii="Calibri" w:eastAsia="Calibri" w:hAnsi="Calibri" w:cs="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1329F"/>
    <w:multiLevelType w:val="hybridMultilevel"/>
    <w:tmpl w:val="53846F30"/>
    <w:lvl w:ilvl="0" w:tplc="F06C164E">
      <w:start w:val="1"/>
      <w:numFmt w:val="bullet"/>
      <w:lvlText w:val=""/>
      <w:lvlJc w:val="left"/>
      <w:pPr>
        <w:ind w:left="720" w:hanging="360"/>
      </w:pPr>
      <w:rPr>
        <w:rFonts w:ascii="Symbol" w:hAnsi="Symbol"/>
      </w:rPr>
    </w:lvl>
    <w:lvl w:ilvl="1" w:tplc="02E42A12">
      <w:start w:val="1"/>
      <w:numFmt w:val="bullet"/>
      <w:lvlText w:val=""/>
      <w:lvlJc w:val="left"/>
      <w:pPr>
        <w:ind w:left="720" w:hanging="360"/>
      </w:pPr>
      <w:rPr>
        <w:rFonts w:ascii="Symbol" w:hAnsi="Symbol"/>
      </w:rPr>
    </w:lvl>
    <w:lvl w:ilvl="2" w:tplc="6B44A9EC">
      <w:start w:val="1"/>
      <w:numFmt w:val="bullet"/>
      <w:lvlText w:val=""/>
      <w:lvlJc w:val="left"/>
      <w:pPr>
        <w:ind w:left="720" w:hanging="360"/>
      </w:pPr>
      <w:rPr>
        <w:rFonts w:ascii="Symbol" w:hAnsi="Symbol"/>
      </w:rPr>
    </w:lvl>
    <w:lvl w:ilvl="3" w:tplc="569AD96E">
      <w:start w:val="1"/>
      <w:numFmt w:val="bullet"/>
      <w:lvlText w:val=""/>
      <w:lvlJc w:val="left"/>
      <w:pPr>
        <w:ind w:left="720" w:hanging="360"/>
      </w:pPr>
      <w:rPr>
        <w:rFonts w:ascii="Symbol" w:hAnsi="Symbol"/>
      </w:rPr>
    </w:lvl>
    <w:lvl w:ilvl="4" w:tplc="D4A4149A">
      <w:start w:val="1"/>
      <w:numFmt w:val="bullet"/>
      <w:lvlText w:val=""/>
      <w:lvlJc w:val="left"/>
      <w:pPr>
        <w:ind w:left="720" w:hanging="360"/>
      </w:pPr>
      <w:rPr>
        <w:rFonts w:ascii="Symbol" w:hAnsi="Symbol"/>
      </w:rPr>
    </w:lvl>
    <w:lvl w:ilvl="5" w:tplc="A1E8CA46">
      <w:start w:val="1"/>
      <w:numFmt w:val="bullet"/>
      <w:lvlText w:val=""/>
      <w:lvlJc w:val="left"/>
      <w:pPr>
        <w:ind w:left="720" w:hanging="360"/>
      </w:pPr>
      <w:rPr>
        <w:rFonts w:ascii="Symbol" w:hAnsi="Symbol"/>
      </w:rPr>
    </w:lvl>
    <w:lvl w:ilvl="6" w:tplc="806630E8">
      <w:start w:val="1"/>
      <w:numFmt w:val="bullet"/>
      <w:lvlText w:val=""/>
      <w:lvlJc w:val="left"/>
      <w:pPr>
        <w:ind w:left="720" w:hanging="360"/>
      </w:pPr>
      <w:rPr>
        <w:rFonts w:ascii="Symbol" w:hAnsi="Symbol"/>
      </w:rPr>
    </w:lvl>
    <w:lvl w:ilvl="7" w:tplc="8F1C8D04">
      <w:start w:val="1"/>
      <w:numFmt w:val="bullet"/>
      <w:lvlText w:val=""/>
      <w:lvlJc w:val="left"/>
      <w:pPr>
        <w:ind w:left="720" w:hanging="360"/>
      </w:pPr>
      <w:rPr>
        <w:rFonts w:ascii="Symbol" w:hAnsi="Symbol"/>
      </w:rPr>
    </w:lvl>
    <w:lvl w:ilvl="8" w:tplc="65C0EE60">
      <w:start w:val="1"/>
      <w:numFmt w:val="bullet"/>
      <w:lvlText w:val=""/>
      <w:lvlJc w:val="left"/>
      <w:pPr>
        <w:ind w:left="720" w:hanging="360"/>
      </w:pPr>
      <w:rPr>
        <w:rFonts w:ascii="Symbol" w:hAnsi="Symbol"/>
      </w:rPr>
    </w:lvl>
  </w:abstractNum>
  <w:abstractNum w:abstractNumId="19" w15:restartNumberingAfterBreak="0">
    <w:nsid w:val="3D3266E6"/>
    <w:multiLevelType w:val="hybridMultilevel"/>
    <w:tmpl w:val="A3DA6A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13676E1"/>
    <w:multiLevelType w:val="hybridMultilevel"/>
    <w:tmpl w:val="E6804F2C"/>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2A0FFE"/>
    <w:multiLevelType w:val="hybridMultilevel"/>
    <w:tmpl w:val="5D46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B83DC1"/>
    <w:multiLevelType w:val="hybridMultilevel"/>
    <w:tmpl w:val="DADA6B7C"/>
    <w:lvl w:ilvl="0" w:tplc="5B8C7FB6">
      <w:start w:val="1"/>
      <w:numFmt w:val="bullet"/>
      <w:lvlText w:val="-"/>
      <w:lvlJc w:val="left"/>
      <w:pPr>
        <w:ind w:left="1008" w:hanging="360"/>
      </w:pPr>
      <w:rPr>
        <w:rFonts w:ascii="Calibri Light" w:eastAsia="Calibri"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10656"/>
    <w:multiLevelType w:val="hybridMultilevel"/>
    <w:tmpl w:val="132E152E"/>
    <w:lvl w:ilvl="0" w:tplc="41DAC9D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D544451"/>
    <w:multiLevelType w:val="hybridMultilevel"/>
    <w:tmpl w:val="2E40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4030A"/>
    <w:multiLevelType w:val="hybridMultilevel"/>
    <w:tmpl w:val="30662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756DD"/>
    <w:multiLevelType w:val="hybridMultilevel"/>
    <w:tmpl w:val="EA0A1430"/>
    <w:lvl w:ilvl="0" w:tplc="BA5ABFA2">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4BE"/>
    <w:multiLevelType w:val="hybridMultilevel"/>
    <w:tmpl w:val="5642BC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FF2E43"/>
    <w:multiLevelType w:val="hybridMultilevel"/>
    <w:tmpl w:val="DE7E1C2C"/>
    <w:lvl w:ilvl="0" w:tplc="040C0013">
      <w:start w:val="1"/>
      <w:numFmt w:val="upperRoman"/>
      <w:lvlText w:val="%1."/>
      <w:lvlJc w:val="right"/>
      <w:pPr>
        <w:ind w:left="773" w:hanging="360"/>
      </w:pPr>
    </w:lvl>
    <w:lvl w:ilvl="1" w:tplc="040C0001">
      <w:start w:val="1"/>
      <w:numFmt w:val="bullet"/>
      <w:lvlText w:val=""/>
      <w:lvlJc w:val="left"/>
      <w:pPr>
        <w:ind w:left="1493" w:hanging="360"/>
      </w:pPr>
      <w:rPr>
        <w:rFonts w:ascii="Symbol" w:hAnsi="Symbol" w:hint="default"/>
      </w:r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29" w15:restartNumberingAfterBreak="0">
    <w:nsid w:val="5DEF64A6"/>
    <w:multiLevelType w:val="hybridMultilevel"/>
    <w:tmpl w:val="BFC20C32"/>
    <w:lvl w:ilvl="0" w:tplc="1F66064E">
      <w:start w:val="1"/>
      <w:numFmt w:val="decimal"/>
      <w:lvlText w:val="%1."/>
      <w:lvlJc w:val="left"/>
      <w:pPr>
        <w:ind w:left="360" w:hanging="360"/>
      </w:pPr>
      <w:rPr>
        <w:rFonts w:ascii="Times New Roman" w:eastAsiaTheme="minorHAnsi" w:hAnsi="Times New Roman" w:cstheme="minorBidi"/>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0F7AF0"/>
    <w:multiLevelType w:val="hybridMultilevel"/>
    <w:tmpl w:val="AD4CBF90"/>
    <w:lvl w:ilvl="0" w:tplc="84D66D7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864F58"/>
    <w:multiLevelType w:val="hybridMultilevel"/>
    <w:tmpl w:val="336874BC"/>
    <w:lvl w:ilvl="0" w:tplc="0409000B">
      <w:start w:val="1"/>
      <w:numFmt w:val="bullet"/>
      <w:lvlText w:val=""/>
      <w:lvlJc w:val="left"/>
      <w:pPr>
        <w:ind w:left="1065" w:hanging="70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C4AFE"/>
    <w:multiLevelType w:val="hybridMultilevel"/>
    <w:tmpl w:val="985211D6"/>
    <w:lvl w:ilvl="0" w:tplc="883E3862">
      <w:start w:val="2"/>
      <w:numFmt w:val="bullet"/>
      <w:lvlText w:val="-"/>
      <w:lvlJc w:val="left"/>
      <w:pPr>
        <w:ind w:left="360" w:hanging="360"/>
      </w:pPr>
      <w:rPr>
        <w:rFonts w:ascii="Calibri" w:eastAsia="Calibri" w:hAnsi="Calibri" w:cs="Calibr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6757111"/>
    <w:multiLevelType w:val="hybridMultilevel"/>
    <w:tmpl w:val="DD989E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BA90DB3"/>
    <w:multiLevelType w:val="hybridMultilevel"/>
    <w:tmpl w:val="83245A66"/>
    <w:lvl w:ilvl="0" w:tplc="581ECE8E">
      <w:start w:val="1"/>
      <w:numFmt w:val="decimal"/>
      <w:lvlText w:val="%1."/>
      <w:lvlJc w:val="left"/>
      <w:pPr>
        <w:ind w:left="543" w:hanging="360"/>
      </w:pPr>
      <w:rPr>
        <w:rFonts w:ascii="Calibri" w:eastAsia="Calibri" w:hAnsi="Calibri" w:cs="Calibri" w:hint="default"/>
        <w:b/>
        <w:bCs/>
        <w:color w:val="006FC0"/>
        <w:spacing w:val="-1"/>
        <w:w w:val="99"/>
        <w:sz w:val="20"/>
        <w:szCs w:val="20"/>
        <w:lang w:val="fr-FR" w:eastAsia="en-US" w:bidi="ar-SA"/>
      </w:rPr>
    </w:lvl>
    <w:lvl w:ilvl="1" w:tplc="CC1281AC">
      <w:numFmt w:val="bullet"/>
      <w:lvlText w:val="o"/>
      <w:lvlJc w:val="left"/>
      <w:pPr>
        <w:ind w:left="836" w:hanging="360"/>
      </w:pPr>
      <w:rPr>
        <w:rFonts w:hint="default"/>
        <w:w w:val="100"/>
        <w:lang w:val="fr-FR" w:eastAsia="en-US" w:bidi="ar-SA"/>
      </w:rPr>
    </w:lvl>
    <w:lvl w:ilvl="2" w:tplc="219250B4">
      <w:numFmt w:val="bullet"/>
      <w:lvlText w:val=""/>
      <w:lvlJc w:val="left"/>
      <w:pPr>
        <w:ind w:left="1556" w:hanging="360"/>
      </w:pPr>
      <w:rPr>
        <w:rFonts w:ascii="Wingdings" w:eastAsia="Wingdings" w:hAnsi="Wingdings" w:cs="Wingdings" w:hint="default"/>
        <w:w w:val="100"/>
        <w:sz w:val="22"/>
        <w:szCs w:val="22"/>
        <w:lang w:val="fr-FR" w:eastAsia="en-US" w:bidi="ar-SA"/>
      </w:rPr>
    </w:lvl>
    <w:lvl w:ilvl="3" w:tplc="73A03C38">
      <w:numFmt w:val="bullet"/>
      <w:lvlText w:val="•"/>
      <w:lvlJc w:val="left"/>
      <w:pPr>
        <w:ind w:left="2600" w:hanging="360"/>
      </w:pPr>
      <w:rPr>
        <w:rFonts w:hint="default"/>
        <w:lang w:val="fr-FR" w:eastAsia="en-US" w:bidi="ar-SA"/>
      </w:rPr>
    </w:lvl>
    <w:lvl w:ilvl="4" w:tplc="B2B413A0">
      <w:numFmt w:val="bullet"/>
      <w:lvlText w:val="•"/>
      <w:lvlJc w:val="left"/>
      <w:pPr>
        <w:ind w:left="3640" w:hanging="360"/>
      </w:pPr>
      <w:rPr>
        <w:rFonts w:hint="default"/>
        <w:lang w:val="fr-FR" w:eastAsia="en-US" w:bidi="ar-SA"/>
      </w:rPr>
    </w:lvl>
    <w:lvl w:ilvl="5" w:tplc="200A61E4">
      <w:numFmt w:val="bullet"/>
      <w:lvlText w:val="•"/>
      <w:lvlJc w:val="left"/>
      <w:pPr>
        <w:ind w:left="4680" w:hanging="360"/>
      </w:pPr>
      <w:rPr>
        <w:rFonts w:hint="default"/>
        <w:lang w:val="fr-FR" w:eastAsia="en-US" w:bidi="ar-SA"/>
      </w:rPr>
    </w:lvl>
    <w:lvl w:ilvl="6" w:tplc="BDE44CAE">
      <w:numFmt w:val="bullet"/>
      <w:lvlText w:val="•"/>
      <w:lvlJc w:val="left"/>
      <w:pPr>
        <w:ind w:left="5720" w:hanging="360"/>
      </w:pPr>
      <w:rPr>
        <w:rFonts w:hint="default"/>
        <w:lang w:val="fr-FR" w:eastAsia="en-US" w:bidi="ar-SA"/>
      </w:rPr>
    </w:lvl>
    <w:lvl w:ilvl="7" w:tplc="23CA6686">
      <w:numFmt w:val="bullet"/>
      <w:lvlText w:val="•"/>
      <w:lvlJc w:val="left"/>
      <w:pPr>
        <w:ind w:left="6760" w:hanging="360"/>
      </w:pPr>
      <w:rPr>
        <w:rFonts w:hint="default"/>
        <w:lang w:val="fr-FR" w:eastAsia="en-US" w:bidi="ar-SA"/>
      </w:rPr>
    </w:lvl>
    <w:lvl w:ilvl="8" w:tplc="B1964182">
      <w:numFmt w:val="bullet"/>
      <w:lvlText w:val="•"/>
      <w:lvlJc w:val="left"/>
      <w:pPr>
        <w:ind w:left="7800" w:hanging="360"/>
      </w:pPr>
      <w:rPr>
        <w:rFonts w:hint="default"/>
        <w:lang w:val="fr-FR" w:eastAsia="en-US" w:bidi="ar-SA"/>
      </w:rPr>
    </w:lvl>
  </w:abstractNum>
  <w:abstractNum w:abstractNumId="35" w15:restartNumberingAfterBreak="0">
    <w:nsid w:val="6E6B57F1"/>
    <w:multiLevelType w:val="hybridMultilevel"/>
    <w:tmpl w:val="DD16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82953"/>
    <w:multiLevelType w:val="hybridMultilevel"/>
    <w:tmpl w:val="3B26AD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EF7458"/>
    <w:multiLevelType w:val="hybridMultilevel"/>
    <w:tmpl w:val="524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E7C97"/>
    <w:multiLevelType w:val="hybridMultilevel"/>
    <w:tmpl w:val="077431D0"/>
    <w:lvl w:ilvl="0" w:tplc="4CD26D28">
      <w:start w:val="1"/>
      <w:numFmt w:val="bullet"/>
      <w:lvlText w:val=""/>
      <w:lvlJc w:val="left"/>
      <w:pPr>
        <w:ind w:left="1440" w:hanging="360"/>
      </w:pPr>
      <w:rPr>
        <w:rFonts w:ascii="Symbol" w:hAnsi="Symbol"/>
      </w:rPr>
    </w:lvl>
    <w:lvl w:ilvl="1" w:tplc="FCB8AB34">
      <w:start w:val="1"/>
      <w:numFmt w:val="bullet"/>
      <w:lvlText w:val=""/>
      <w:lvlJc w:val="left"/>
      <w:pPr>
        <w:ind w:left="1440" w:hanging="360"/>
      </w:pPr>
      <w:rPr>
        <w:rFonts w:ascii="Symbol" w:hAnsi="Symbol"/>
      </w:rPr>
    </w:lvl>
    <w:lvl w:ilvl="2" w:tplc="6AAE28CE">
      <w:start w:val="1"/>
      <w:numFmt w:val="bullet"/>
      <w:lvlText w:val=""/>
      <w:lvlJc w:val="left"/>
      <w:pPr>
        <w:ind w:left="1440" w:hanging="360"/>
      </w:pPr>
      <w:rPr>
        <w:rFonts w:ascii="Symbol" w:hAnsi="Symbol"/>
      </w:rPr>
    </w:lvl>
    <w:lvl w:ilvl="3" w:tplc="C2DE39B0">
      <w:start w:val="1"/>
      <w:numFmt w:val="bullet"/>
      <w:lvlText w:val=""/>
      <w:lvlJc w:val="left"/>
      <w:pPr>
        <w:ind w:left="1440" w:hanging="360"/>
      </w:pPr>
      <w:rPr>
        <w:rFonts w:ascii="Symbol" w:hAnsi="Symbol"/>
      </w:rPr>
    </w:lvl>
    <w:lvl w:ilvl="4" w:tplc="796E07D8">
      <w:start w:val="1"/>
      <w:numFmt w:val="bullet"/>
      <w:lvlText w:val=""/>
      <w:lvlJc w:val="left"/>
      <w:pPr>
        <w:ind w:left="1440" w:hanging="360"/>
      </w:pPr>
      <w:rPr>
        <w:rFonts w:ascii="Symbol" w:hAnsi="Symbol"/>
      </w:rPr>
    </w:lvl>
    <w:lvl w:ilvl="5" w:tplc="440CF2DA">
      <w:start w:val="1"/>
      <w:numFmt w:val="bullet"/>
      <w:lvlText w:val=""/>
      <w:lvlJc w:val="left"/>
      <w:pPr>
        <w:ind w:left="1440" w:hanging="360"/>
      </w:pPr>
      <w:rPr>
        <w:rFonts w:ascii="Symbol" w:hAnsi="Symbol"/>
      </w:rPr>
    </w:lvl>
    <w:lvl w:ilvl="6" w:tplc="317E1E08">
      <w:start w:val="1"/>
      <w:numFmt w:val="bullet"/>
      <w:lvlText w:val=""/>
      <w:lvlJc w:val="left"/>
      <w:pPr>
        <w:ind w:left="1440" w:hanging="360"/>
      </w:pPr>
      <w:rPr>
        <w:rFonts w:ascii="Symbol" w:hAnsi="Symbol"/>
      </w:rPr>
    </w:lvl>
    <w:lvl w:ilvl="7" w:tplc="A20E91BC">
      <w:start w:val="1"/>
      <w:numFmt w:val="bullet"/>
      <w:lvlText w:val=""/>
      <w:lvlJc w:val="left"/>
      <w:pPr>
        <w:ind w:left="1440" w:hanging="360"/>
      </w:pPr>
      <w:rPr>
        <w:rFonts w:ascii="Symbol" w:hAnsi="Symbol"/>
      </w:rPr>
    </w:lvl>
    <w:lvl w:ilvl="8" w:tplc="86BEC932">
      <w:start w:val="1"/>
      <w:numFmt w:val="bullet"/>
      <w:lvlText w:val=""/>
      <w:lvlJc w:val="left"/>
      <w:pPr>
        <w:ind w:left="1440" w:hanging="360"/>
      </w:pPr>
      <w:rPr>
        <w:rFonts w:ascii="Symbol" w:hAnsi="Symbol"/>
      </w:rPr>
    </w:lvl>
  </w:abstractNum>
  <w:abstractNum w:abstractNumId="39" w15:restartNumberingAfterBreak="0">
    <w:nsid w:val="7C034BFB"/>
    <w:multiLevelType w:val="hybridMultilevel"/>
    <w:tmpl w:val="1F2C2796"/>
    <w:lvl w:ilvl="0" w:tplc="580A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CC866F0"/>
    <w:multiLevelType w:val="hybridMultilevel"/>
    <w:tmpl w:val="BA20E842"/>
    <w:lvl w:ilvl="0" w:tplc="040C0013">
      <w:start w:val="1"/>
      <w:numFmt w:val="upperRoman"/>
      <w:lvlText w:val="%1."/>
      <w:lvlJc w:val="right"/>
      <w:pPr>
        <w:ind w:left="773" w:hanging="360"/>
      </w:pPr>
    </w:lvl>
    <w:lvl w:ilvl="1" w:tplc="040C0019">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41" w15:restartNumberingAfterBreak="0">
    <w:nsid w:val="7D002B97"/>
    <w:multiLevelType w:val="hybridMultilevel"/>
    <w:tmpl w:val="04744FD2"/>
    <w:lvl w:ilvl="0" w:tplc="DC369E08">
      <w:start w:val="1"/>
      <w:numFmt w:val="decimal"/>
      <w:lvlText w:val="%1."/>
      <w:lvlJc w:val="left"/>
      <w:pPr>
        <w:ind w:left="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257077">
    <w:abstractNumId w:val="30"/>
  </w:num>
  <w:num w:numId="2" w16cid:durableId="504512895">
    <w:abstractNumId w:val="20"/>
  </w:num>
  <w:num w:numId="3" w16cid:durableId="1515413300">
    <w:abstractNumId w:val="27"/>
  </w:num>
  <w:num w:numId="4" w16cid:durableId="500901082">
    <w:abstractNumId w:val="2"/>
  </w:num>
  <w:num w:numId="5" w16cid:durableId="1426995227">
    <w:abstractNumId w:val="23"/>
  </w:num>
  <w:num w:numId="6" w16cid:durableId="1333340879">
    <w:abstractNumId w:val="8"/>
  </w:num>
  <w:num w:numId="7" w16cid:durableId="1981379103">
    <w:abstractNumId w:val="31"/>
  </w:num>
  <w:num w:numId="8" w16cid:durableId="1603949535">
    <w:abstractNumId w:val="6"/>
  </w:num>
  <w:num w:numId="9" w16cid:durableId="1845320843">
    <w:abstractNumId w:val="36"/>
  </w:num>
  <w:num w:numId="10" w16cid:durableId="455685925">
    <w:abstractNumId w:val="33"/>
  </w:num>
  <w:num w:numId="11" w16cid:durableId="22946375">
    <w:abstractNumId w:val="19"/>
  </w:num>
  <w:num w:numId="12" w16cid:durableId="1275408771">
    <w:abstractNumId w:val="14"/>
  </w:num>
  <w:num w:numId="13" w16cid:durableId="137773079">
    <w:abstractNumId w:val="40"/>
  </w:num>
  <w:num w:numId="14" w16cid:durableId="1837182510">
    <w:abstractNumId w:val="7"/>
  </w:num>
  <w:num w:numId="15" w16cid:durableId="399405268">
    <w:abstractNumId w:val="28"/>
  </w:num>
  <w:num w:numId="16" w16cid:durableId="1881630108">
    <w:abstractNumId w:val="12"/>
  </w:num>
  <w:num w:numId="17" w16cid:durableId="967202179">
    <w:abstractNumId w:val="15"/>
  </w:num>
  <w:num w:numId="18" w16cid:durableId="469138">
    <w:abstractNumId w:val="5"/>
  </w:num>
  <w:num w:numId="19" w16cid:durableId="2069330768">
    <w:abstractNumId w:val="16"/>
  </w:num>
  <w:num w:numId="20" w16cid:durableId="599332917">
    <w:abstractNumId w:val="0"/>
  </w:num>
  <w:num w:numId="21" w16cid:durableId="1962951744">
    <w:abstractNumId w:val="13"/>
  </w:num>
  <w:num w:numId="22" w16cid:durableId="1047412523">
    <w:abstractNumId w:val="38"/>
  </w:num>
  <w:num w:numId="23" w16cid:durableId="902720061">
    <w:abstractNumId w:val="9"/>
  </w:num>
  <w:num w:numId="24" w16cid:durableId="2081557623">
    <w:abstractNumId w:val="18"/>
  </w:num>
  <w:num w:numId="25" w16cid:durableId="123667935">
    <w:abstractNumId w:val="10"/>
  </w:num>
  <w:num w:numId="26" w16cid:durableId="1188444407">
    <w:abstractNumId w:val="25"/>
  </w:num>
  <w:num w:numId="27" w16cid:durableId="603802890">
    <w:abstractNumId w:val="26"/>
  </w:num>
  <w:num w:numId="28" w16cid:durableId="942884774">
    <w:abstractNumId w:val="22"/>
  </w:num>
  <w:num w:numId="29" w16cid:durableId="1732652652">
    <w:abstractNumId w:val="3"/>
  </w:num>
  <w:num w:numId="30" w16cid:durableId="917129028">
    <w:abstractNumId w:val="41"/>
  </w:num>
  <w:num w:numId="31" w16cid:durableId="1266842084">
    <w:abstractNumId w:val="39"/>
  </w:num>
  <w:num w:numId="32" w16cid:durableId="1416901327">
    <w:abstractNumId w:val="24"/>
  </w:num>
  <w:num w:numId="33" w16cid:durableId="1336688867">
    <w:abstractNumId w:val="21"/>
  </w:num>
  <w:num w:numId="34" w16cid:durableId="1099374370">
    <w:abstractNumId w:val="4"/>
  </w:num>
  <w:num w:numId="35" w16cid:durableId="138814948">
    <w:abstractNumId w:val="37"/>
  </w:num>
  <w:num w:numId="36" w16cid:durableId="1628004503">
    <w:abstractNumId w:val="35"/>
  </w:num>
  <w:num w:numId="37" w16cid:durableId="673921793">
    <w:abstractNumId w:val="32"/>
  </w:num>
  <w:num w:numId="38" w16cid:durableId="158008704">
    <w:abstractNumId w:val="11"/>
  </w:num>
  <w:num w:numId="39" w16cid:durableId="529608577">
    <w:abstractNumId w:val="17"/>
  </w:num>
  <w:num w:numId="40" w16cid:durableId="493422325">
    <w:abstractNumId w:val="1"/>
  </w:num>
  <w:num w:numId="41" w16cid:durableId="2065130593">
    <w:abstractNumId w:val="34"/>
  </w:num>
  <w:num w:numId="42" w16cid:durableId="13686766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38"/>
    <w:rsid w:val="00001389"/>
    <w:rsid w:val="000066ED"/>
    <w:rsid w:val="0004232A"/>
    <w:rsid w:val="00046316"/>
    <w:rsid w:val="00051BED"/>
    <w:rsid w:val="0005321A"/>
    <w:rsid w:val="000813F0"/>
    <w:rsid w:val="000A4DD7"/>
    <w:rsid w:val="000D0AE0"/>
    <w:rsid w:val="00123D1D"/>
    <w:rsid w:val="001241B1"/>
    <w:rsid w:val="001276E3"/>
    <w:rsid w:val="00135550"/>
    <w:rsid w:val="001401A8"/>
    <w:rsid w:val="00186503"/>
    <w:rsid w:val="001A1538"/>
    <w:rsid w:val="001D5852"/>
    <w:rsid w:val="001E5565"/>
    <w:rsid w:val="00205EFE"/>
    <w:rsid w:val="0022477B"/>
    <w:rsid w:val="0024083B"/>
    <w:rsid w:val="00262E03"/>
    <w:rsid w:val="00282E3B"/>
    <w:rsid w:val="002864B8"/>
    <w:rsid w:val="00291D9C"/>
    <w:rsid w:val="00295EBD"/>
    <w:rsid w:val="0029658E"/>
    <w:rsid w:val="002A2BA2"/>
    <w:rsid w:val="002C1608"/>
    <w:rsid w:val="002C6E27"/>
    <w:rsid w:val="002D4DD4"/>
    <w:rsid w:val="002E17D1"/>
    <w:rsid w:val="002F6202"/>
    <w:rsid w:val="00307FD0"/>
    <w:rsid w:val="003135CD"/>
    <w:rsid w:val="00332B13"/>
    <w:rsid w:val="003753B4"/>
    <w:rsid w:val="00386621"/>
    <w:rsid w:val="003A0BD6"/>
    <w:rsid w:val="003A418E"/>
    <w:rsid w:val="003C4C9D"/>
    <w:rsid w:val="003D0E67"/>
    <w:rsid w:val="003D11E3"/>
    <w:rsid w:val="003D184E"/>
    <w:rsid w:val="003D4BE8"/>
    <w:rsid w:val="004007DE"/>
    <w:rsid w:val="0040769A"/>
    <w:rsid w:val="004258B2"/>
    <w:rsid w:val="00442DB4"/>
    <w:rsid w:val="004571F2"/>
    <w:rsid w:val="00470844"/>
    <w:rsid w:val="00481F54"/>
    <w:rsid w:val="00483E06"/>
    <w:rsid w:val="004A4DD3"/>
    <w:rsid w:val="004A6D04"/>
    <w:rsid w:val="004D5A0A"/>
    <w:rsid w:val="004E6D72"/>
    <w:rsid w:val="004F6FC0"/>
    <w:rsid w:val="005062CE"/>
    <w:rsid w:val="00514D30"/>
    <w:rsid w:val="00535129"/>
    <w:rsid w:val="00535FDC"/>
    <w:rsid w:val="00542AAE"/>
    <w:rsid w:val="00564503"/>
    <w:rsid w:val="00567B77"/>
    <w:rsid w:val="00591444"/>
    <w:rsid w:val="005A4508"/>
    <w:rsid w:val="005A6DF1"/>
    <w:rsid w:val="005A7D17"/>
    <w:rsid w:val="005B379B"/>
    <w:rsid w:val="005C44D2"/>
    <w:rsid w:val="005C5BE9"/>
    <w:rsid w:val="005C7E8F"/>
    <w:rsid w:val="005E4169"/>
    <w:rsid w:val="005E4E6E"/>
    <w:rsid w:val="005F6DC7"/>
    <w:rsid w:val="0060551E"/>
    <w:rsid w:val="00610FFE"/>
    <w:rsid w:val="0061435A"/>
    <w:rsid w:val="006152CD"/>
    <w:rsid w:val="006302D1"/>
    <w:rsid w:val="00651BAA"/>
    <w:rsid w:val="00651CDA"/>
    <w:rsid w:val="00684060"/>
    <w:rsid w:val="006928E5"/>
    <w:rsid w:val="006C1FCE"/>
    <w:rsid w:val="006F1306"/>
    <w:rsid w:val="006F402B"/>
    <w:rsid w:val="006F7613"/>
    <w:rsid w:val="00702BB8"/>
    <w:rsid w:val="00705E71"/>
    <w:rsid w:val="007302E4"/>
    <w:rsid w:val="00760682"/>
    <w:rsid w:val="00771C55"/>
    <w:rsid w:val="007B0F27"/>
    <w:rsid w:val="007C6044"/>
    <w:rsid w:val="007D3AF3"/>
    <w:rsid w:val="007E5EA7"/>
    <w:rsid w:val="00812EE8"/>
    <w:rsid w:val="0082534B"/>
    <w:rsid w:val="00833206"/>
    <w:rsid w:val="0083683D"/>
    <w:rsid w:val="008427E8"/>
    <w:rsid w:val="0084798B"/>
    <w:rsid w:val="0086002B"/>
    <w:rsid w:val="00864178"/>
    <w:rsid w:val="00875E34"/>
    <w:rsid w:val="00885570"/>
    <w:rsid w:val="008B5535"/>
    <w:rsid w:val="008C399B"/>
    <w:rsid w:val="008D6D15"/>
    <w:rsid w:val="008F05BE"/>
    <w:rsid w:val="008F5DAC"/>
    <w:rsid w:val="00905190"/>
    <w:rsid w:val="009104CC"/>
    <w:rsid w:val="00921789"/>
    <w:rsid w:val="009225F2"/>
    <w:rsid w:val="00932C38"/>
    <w:rsid w:val="00934ACD"/>
    <w:rsid w:val="009527D6"/>
    <w:rsid w:val="009637CF"/>
    <w:rsid w:val="009933E2"/>
    <w:rsid w:val="009B7590"/>
    <w:rsid w:val="009C1AF9"/>
    <w:rsid w:val="009C22FC"/>
    <w:rsid w:val="009D18BD"/>
    <w:rsid w:val="009D1AA8"/>
    <w:rsid w:val="009E1BF4"/>
    <w:rsid w:val="009F3347"/>
    <w:rsid w:val="00A0088A"/>
    <w:rsid w:val="00A0483F"/>
    <w:rsid w:val="00A149B3"/>
    <w:rsid w:val="00A3473B"/>
    <w:rsid w:val="00A35529"/>
    <w:rsid w:val="00A40F3E"/>
    <w:rsid w:val="00A41AA6"/>
    <w:rsid w:val="00A65A36"/>
    <w:rsid w:val="00A859BD"/>
    <w:rsid w:val="00AB10CC"/>
    <w:rsid w:val="00AC4585"/>
    <w:rsid w:val="00AC45A4"/>
    <w:rsid w:val="00B478D9"/>
    <w:rsid w:val="00B519E3"/>
    <w:rsid w:val="00B53FCC"/>
    <w:rsid w:val="00B93451"/>
    <w:rsid w:val="00B957DB"/>
    <w:rsid w:val="00BA496F"/>
    <w:rsid w:val="00BB7258"/>
    <w:rsid w:val="00BC4056"/>
    <w:rsid w:val="00BD6263"/>
    <w:rsid w:val="00C05926"/>
    <w:rsid w:val="00C209CB"/>
    <w:rsid w:val="00C27ED4"/>
    <w:rsid w:val="00C4210C"/>
    <w:rsid w:val="00C64084"/>
    <w:rsid w:val="00C75D67"/>
    <w:rsid w:val="00C84773"/>
    <w:rsid w:val="00C86BCD"/>
    <w:rsid w:val="00CA2CAD"/>
    <w:rsid w:val="00CC3E27"/>
    <w:rsid w:val="00CC713D"/>
    <w:rsid w:val="00CD3A2D"/>
    <w:rsid w:val="00CE507D"/>
    <w:rsid w:val="00CF4E24"/>
    <w:rsid w:val="00D15175"/>
    <w:rsid w:val="00D27DD0"/>
    <w:rsid w:val="00D3233E"/>
    <w:rsid w:val="00D3608F"/>
    <w:rsid w:val="00D6707E"/>
    <w:rsid w:val="00D80CCB"/>
    <w:rsid w:val="00DB4225"/>
    <w:rsid w:val="00DB4B75"/>
    <w:rsid w:val="00DB5EEF"/>
    <w:rsid w:val="00DF1DE4"/>
    <w:rsid w:val="00E06E30"/>
    <w:rsid w:val="00E52A1C"/>
    <w:rsid w:val="00E60D6F"/>
    <w:rsid w:val="00E6145F"/>
    <w:rsid w:val="00E666E2"/>
    <w:rsid w:val="00E71CF5"/>
    <w:rsid w:val="00E76AE3"/>
    <w:rsid w:val="00E8295F"/>
    <w:rsid w:val="00EA0384"/>
    <w:rsid w:val="00EC2A37"/>
    <w:rsid w:val="00EF5823"/>
    <w:rsid w:val="00F21ACE"/>
    <w:rsid w:val="00F33798"/>
    <w:rsid w:val="00F33AAA"/>
    <w:rsid w:val="00F34BB9"/>
    <w:rsid w:val="00F50E18"/>
    <w:rsid w:val="00F52A46"/>
    <w:rsid w:val="00F55C76"/>
    <w:rsid w:val="00F574A7"/>
    <w:rsid w:val="00F87717"/>
    <w:rsid w:val="00F93344"/>
    <w:rsid w:val="00FB3B93"/>
    <w:rsid w:val="00FD4111"/>
    <w:rsid w:val="00FD5E20"/>
    <w:rsid w:val="00FE3588"/>
    <w:rsid w:val="00FE7209"/>
    <w:rsid w:val="00FF56BD"/>
    <w:rsid w:val="00FF75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FB5F5"/>
  <w15:chartTrackingRefBased/>
  <w15:docId w15:val="{0359CE60-6B70-4836-AEC8-4B23AA4B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ANNEX"/>
    <w:basedOn w:val="Normal"/>
    <w:link w:val="ListParagraphChar"/>
    <w:uiPriority w:val="34"/>
    <w:qFormat/>
    <w:rsid w:val="00932C38"/>
    <w:pPr>
      <w:ind w:left="720"/>
      <w:contextualSpacing/>
    </w:pPr>
  </w:style>
  <w:style w:type="character" w:styleId="CommentReference">
    <w:name w:val="annotation reference"/>
    <w:uiPriority w:val="99"/>
    <w:semiHidden/>
    <w:unhideWhenUsed/>
    <w:rsid w:val="000066ED"/>
    <w:rPr>
      <w:sz w:val="16"/>
      <w:szCs w:val="16"/>
    </w:rPr>
  </w:style>
  <w:style w:type="paragraph" w:styleId="CommentText">
    <w:name w:val="annotation text"/>
    <w:basedOn w:val="Normal"/>
    <w:link w:val="CommentTextChar"/>
    <w:uiPriority w:val="99"/>
    <w:unhideWhenUsed/>
    <w:rsid w:val="000066ED"/>
    <w:rPr>
      <w:rFonts w:ascii="Calibri" w:eastAsia="Calibri" w:hAnsi="Calibri" w:cs="Times New Roman"/>
      <w:sz w:val="20"/>
      <w:szCs w:val="20"/>
      <w:lang w:eastAsia="x-none"/>
    </w:rPr>
  </w:style>
  <w:style w:type="character" w:customStyle="1" w:styleId="CommentTextChar">
    <w:name w:val="Comment Text Char"/>
    <w:basedOn w:val="DefaultParagraphFont"/>
    <w:link w:val="CommentText"/>
    <w:uiPriority w:val="99"/>
    <w:rsid w:val="000066ED"/>
    <w:rPr>
      <w:rFonts w:ascii="Calibri" w:eastAsia="Calibri" w:hAnsi="Calibri" w:cs="Times New Roman"/>
      <w:sz w:val="20"/>
      <w:szCs w:val="20"/>
      <w:lang w:eastAsia="x-none"/>
    </w:r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qFormat/>
    <w:locked/>
    <w:rsid w:val="000066ED"/>
  </w:style>
  <w:style w:type="character" w:styleId="Hyperlink">
    <w:name w:val="Hyperlink"/>
    <w:uiPriority w:val="99"/>
    <w:unhideWhenUsed/>
    <w:rsid w:val="000066ED"/>
    <w:rPr>
      <w:color w:val="0563C1"/>
      <w:u w:val="single"/>
    </w:rPr>
  </w:style>
  <w:style w:type="paragraph" w:styleId="BalloonText">
    <w:name w:val="Balloon Text"/>
    <w:basedOn w:val="Normal"/>
    <w:link w:val="BalloonTextChar"/>
    <w:uiPriority w:val="99"/>
    <w:semiHidden/>
    <w:unhideWhenUsed/>
    <w:rsid w:val="00006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6ED"/>
    <w:rPr>
      <w:rFonts w:ascii="Segoe UI" w:hAnsi="Segoe UI" w:cs="Segoe UI"/>
      <w:sz w:val="18"/>
      <w:szCs w:val="18"/>
    </w:rPr>
  </w:style>
  <w:style w:type="paragraph" w:styleId="Header">
    <w:name w:val="header"/>
    <w:basedOn w:val="Normal"/>
    <w:link w:val="HeaderChar"/>
    <w:uiPriority w:val="99"/>
    <w:unhideWhenUsed/>
    <w:rsid w:val="004571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71F2"/>
  </w:style>
  <w:style w:type="paragraph" w:styleId="Footer">
    <w:name w:val="footer"/>
    <w:basedOn w:val="Normal"/>
    <w:link w:val="FooterChar"/>
    <w:uiPriority w:val="99"/>
    <w:unhideWhenUsed/>
    <w:rsid w:val="004571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71F2"/>
  </w:style>
  <w:style w:type="paragraph" w:styleId="CommentSubject">
    <w:name w:val="annotation subject"/>
    <w:basedOn w:val="CommentText"/>
    <w:next w:val="CommentText"/>
    <w:link w:val="CommentSubjectChar"/>
    <w:uiPriority w:val="99"/>
    <w:semiHidden/>
    <w:unhideWhenUsed/>
    <w:rsid w:val="009637CF"/>
    <w:pPr>
      <w:spacing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637CF"/>
    <w:rPr>
      <w:rFonts w:ascii="Calibri" w:eastAsia="Calibri" w:hAnsi="Calibri" w:cs="Times New Roman"/>
      <w:b/>
      <w:bCs/>
      <w:sz w:val="20"/>
      <w:szCs w:val="20"/>
      <w:lang w:eastAsia="x-none"/>
    </w:rPr>
  </w:style>
  <w:style w:type="paragraph" w:styleId="Revision">
    <w:name w:val="Revision"/>
    <w:hidden/>
    <w:uiPriority w:val="99"/>
    <w:semiHidden/>
    <w:rsid w:val="006928E5"/>
    <w:pPr>
      <w:spacing w:after="0" w:line="240" w:lineRule="auto"/>
    </w:pPr>
  </w:style>
  <w:style w:type="paragraph" w:styleId="NoSpacing">
    <w:name w:val="No Spacing"/>
    <w:uiPriority w:val="1"/>
    <w:qFormat/>
    <w:rsid w:val="005E4169"/>
    <w:pPr>
      <w:spacing w:after="0" w:line="240" w:lineRule="auto"/>
    </w:pPr>
    <w:rPr>
      <w:rFonts w:ascii="Calibri" w:eastAsia="Calibri" w:hAnsi="Calibri" w:cs="Arial"/>
      <w:lang w:val="en-GB" w:bidi="km-KH"/>
    </w:rPr>
  </w:style>
  <w:style w:type="table" w:styleId="TableGrid">
    <w:name w:val="Table Grid"/>
    <w:basedOn w:val="TableNormal"/>
    <w:rsid w:val="005E4169"/>
    <w:pPr>
      <w:spacing w:after="0" w:line="240" w:lineRule="auto"/>
    </w:pPr>
    <w:rPr>
      <w:szCs w:val="36"/>
      <w:lang w:val="en-GB"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5BE9"/>
    <w:pPr>
      <w:spacing w:after="0" w:line="240" w:lineRule="auto"/>
    </w:pPr>
    <w:rPr>
      <w:rFonts w:ascii="Times New Roman" w:eastAsia="Times" w:hAnsi="Times New Roman" w:cs="Times New Roman"/>
      <w:color w:val="000000"/>
      <w:sz w:val="20"/>
      <w:szCs w:val="20"/>
      <w:lang w:val="en-US" w:eastAsia="en-GB" w:bidi="km-KH"/>
    </w:rPr>
  </w:style>
  <w:style w:type="character" w:customStyle="1" w:styleId="FootnoteTextChar">
    <w:name w:val="Footnote Text Char"/>
    <w:basedOn w:val="DefaultParagraphFont"/>
    <w:link w:val="FootnoteText"/>
    <w:uiPriority w:val="99"/>
    <w:semiHidden/>
    <w:rsid w:val="005C5BE9"/>
    <w:rPr>
      <w:rFonts w:ascii="Times New Roman" w:eastAsia="Times" w:hAnsi="Times New Roman" w:cs="Times New Roman"/>
      <w:color w:val="000000"/>
      <w:sz w:val="20"/>
      <w:szCs w:val="20"/>
      <w:lang w:val="en-US" w:eastAsia="en-GB" w:bidi="km-KH"/>
    </w:rPr>
  </w:style>
  <w:style w:type="character" w:styleId="FootnoteReference">
    <w:name w:val="footnote reference"/>
    <w:basedOn w:val="DefaultParagraphFont"/>
    <w:uiPriority w:val="99"/>
    <w:semiHidden/>
    <w:unhideWhenUsed/>
    <w:rsid w:val="005C5BE9"/>
    <w:rPr>
      <w:vertAlign w:val="superscript"/>
    </w:rPr>
  </w:style>
  <w:style w:type="character" w:styleId="FollowedHyperlink">
    <w:name w:val="FollowedHyperlink"/>
    <w:basedOn w:val="DefaultParagraphFont"/>
    <w:uiPriority w:val="99"/>
    <w:semiHidden/>
    <w:unhideWhenUsed/>
    <w:rsid w:val="00123D1D"/>
    <w:rPr>
      <w:color w:val="954F72" w:themeColor="followedHyperlink"/>
      <w:u w:val="single"/>
    </w:rPr>
  </w:style>
  <w:style w:type="table" w:styleId="ListTable4-Accent1">
    <w:name w:val="List Table 4 Accent 1"/>
    <w:basedOn w:val="TableNormal"/>
    <w:uiPriority w:val="49"/>
    <w:rsid w:val="009C22FC"/>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
    <w:name w:val="Body Text"/>
    <w:basedOn w:val="Normal"/>
    <w:link w:val="BodyTextChar"/>
    <w:uiPriority w:val="1"/>
    <w:qFormat/>
    <w:rsid w:val="0047084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470844"/>
    <w:rPr>
      <w:rFonts w:ascii="Calibri" w:eastAsia="Calibri" w:hAnsi="Calibri" w:cs="Calibri"/>
    </w:rPr>
  </w:style>
  <w:style w:type="character" w:styleId="UnresolvedMention">
    <w:name w:val="Unresolved Mention"/>
    <w:basedOn w:val="DefaultParagraphFont"/>
    <w:uiPriority w:val="99"/>
    <w:semiHidden/>
    <w:unhideWhenUsed/>
    <w:rsid w:val="001A1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1900">
      <w:bodyDiv w:val="1"/>
      <w:marLeft w:val="0"/>
      <w:marRight w:val="0"/>
      <w:marTop w:val="0"/>
      <w:marBottom w:val="0"/>
      <w:divBdr>
        <w:top w:val="none" w:sz="0" w:space="0" w:color="auto"/>
        <w:left w:val="none" w:sz="0" w:space="0" w:color="auto"/>
        <w:bottom w:val="none" w:sz="0" w:space="0" w:color="auto"/>
        <w:right w:val="none" w:sz="0" w:space="0" w:color="auto"/>
      </w:divBdr>
      <w:divsChild>
        <w:div w:id="1906183089">
          <w:marLeft w:val="274"/>
          <w:marRight w:val="0"/>
          <w:marTop w:val="150"/>
          <w:marBottom w:val="0"/>
          <w:divBdr>
            <w:top w:val="none" w:sz="0" w:space="0" w:color="auto"/>
            <w:left w:val="none" w:sz="0" w:space="0" w:color="auto"/>
            <w:bottom w:val="none" w:sz="0" w:space="0" w:color="auto"/>
            <w:right w:val="none" w:sz="0" w:space="0" w:color="auto"/>
          </w:divBdr>
        </w:div>
      </w:divsChild>
    </w:div>
    <w:div w:id="776758568">
      <w:bodyDiv w:val="1"/>
      <w:marLeft w:val="0"/>
      <w:marRight w:val="0"/>
      <w:marTop w:val="0"/>
      <w:marBottom w:val="0"/>
      <w:divBdr>
        <w:top w:val="none" w:sz="0" w:space="0" w:color="auto"/>
        <w:left w:val="none" w:sz="0" w:space="0" w:color="auto"/>
        <w:bottom w:val="none" w:sz="0" w:space="0" w:color="auto"/>
        <w:right w:val="none" w:sz="0" w:space="0" w:color="auto"/>
      </w:divBdr>
      <w:divsChild>
        <w:div w:id="41831164">
          <w:marLeft w:val="1354"/>
          <w:marRight w:val="0"/>
          <w:marTop w:val="75"/>
          <w:marBottom w:val="0"/>
          <w:divBdr>
            <w:top w:val="none" w:sz="0" w:space="0" w:color="auto"/>
            <w:left w:val="none" w:sz="0" w:space="0" w:color="auto"/>
            <w:bottom w:val="none" w:sz="0" w:space="0" w:color="auto"/>
            <w:right w:val="none" w:sz="0" w:space="0" w:color="auto"/>
          </w:divBdr>
        </w:div>
        <w:div w:id="1403134939">
          <w:marLeft w:val="1354"/>
          <w:marRight w:val="0"/>
          <w:marTop w:val="75"/>
          <w:marBottom w:val="0"/>
          <w:divBdr>
            <w:top w:val="none" w:sz="0" w:space="0" w:color="auto"/>
            <w:left w:val="none" w:sz="0" w:space="0" w:color="auto"/>
            <w:bottom w:val="none" w:sz="0" w:space="0" w:color="auto"/>
            <w:right w:val="none" w:sz="0" w:space="0" w:color="auto"/>
          </w:divBdr>
        </w:div>
      </w:divsChild>
    </w:div>
    <w:div w:id="1267074890">
      <w:bodyDiv w:val="1"/>
      <w:marLeft w:val="0"/>
      <w:marRight w:val="0"/>
      <w:marTop w:val="0"/>
      <w:marBottom w:val="0"/>
      <w:divBdr>
        <w:top w:val="none" w:sz="0" w:space="0" w:color="auto"/>
        <w:left w:val="none" w:sz="0" w:space="0" w:color="auto"/>
        <w:bottom w:val="none" w:sz="0" w:space="0" w:color="auto"/>
        <w:right w:val="none" w:sz="0" w:space="0" w:color="auto"/>
      </w:divBdr>
      <w:divsChild>
        <w:div w:id="1009255721">
          <w:marLeft w:val="274"/>
          <w:marRight w:val="0"/>
          <w:marTop w:val="150"/>
          <w:marBottom w:val="0"/>
          <w:divBdr>
            <w:top w:val="none" w:sz="0" w:space="0" w:color="auto"/>
            <w:left w:val="none" w:sz="0" w:space="0" w:color="auto"/>
            <w:bottom w:val="none" w:sz="0" w:space="0" w:color="auto"/>
            <w:right w:val="none" w:sz="0" w:space="0" w:color="auto"/>
          </w:divBdr>
        </w:div>
        <w:div w:id="2018535250">
          <w:marLeft w:val="274"/>
          <w:marRight w:val="0"/>
          <w:marTop w:val="150"/>
          <w:marBottom w:val="0"/>
          <w:divBdr>
            <w:top w:val="none" w:sz="0" w:space="0" w:color="auto"/>
            <w:left w:val="none" w:sz="0" w:space="0" w:color="auto"/>
            <w:bottom w:val="none" w:sz="0" w:space="0" w:color="auto"/>
            <w:right w:val="none" w:sz="0" w:space="0" w:color="auto"/>
          </w:divBdr>
        </w:div>
        <w:div w:id="2073186981">
          <w:marLeft w:val="274"/>
          <w:marRight w:val="0"/>
          <w:marTop w:val="150"/>
          <w:marBottom w:val="0"/>
          <w:divBdr>
            <w:top w:val="none" w:sz="0" w:space="0" w:color="auto"/>
            <w:left w:val="none" w:sz="0" w:space="0" w:color="auto"/>
            <w:bottom w:val="none" w:sz="0" w:space="0" w:color="auto"/>
            <w:right w:val="none" w:sz="0" w:space="0" w:color="auto"/>
          </w:divBdr>
        </w:div>
        <w:div w:id="1586449910">
          <w:marLeft w:val="806"/>
          <w:marRight w:val="0"/>
          <w:marTop w:val="75"/>
          <w:marBottom w:val="0"/>
          <w:divBdr>
            <w:top w:val="none" w:sz="0" w:space="0" w:color="auto"/>
            <w:left w:val="none" w:sz="0" w:space="0" w:color="auto"/>
            <w:bottom w:val="none" w:sz="0" w:space="0" w:color="auto"/>
            <w:right w:val="none" w:sz="0" w:space="0" w:color="auto"/>
          </w:divBdr>
        </w:div>
        <w:div w:id="691612780">
          <w:marLeft w:val="806"/>
          <w:marRight w:val="0"/>
          <w:marTop w:val="75"/>
          <w:marBottom w:val="0"/>
          <w:divBdr>
            <w:top w:val="none" w:sz="0" w:space="0" w:color="auto"/>
            <w:left w:val="none" w:sz="0" w:space="0" w:color="auto"/>
            <w:bottom w:val="none" w:sz="0" w:space="0" w:color="auto"/>
            <w:right w:val="none" w:sz="0" w:space="0" w:color="auto"/>
          </w:divBdr>
        </w:div>
      </w:divsChild>
    </w:div>
    <w:div w:id="2142574133">
      <w:bodyDiv w:val="1"/>
      <w:marLeft w:val="0"/>
      <w:marRight w:val="0"/>
      <w:marTop w:val="0"/>
      <w:marBottom w:val="0"/>
      <w:divBdr>
        <w:top w:val="none" w:sz="0" w:space="0" w:color="auto"/>
        <w:left w:val="none" w:sz="0" w:space="0" w:color="auto"/>
        <w:bottom w:val="none" w:sz="0" w:space="0" w:color="auto"/>
        <w:right w:val="none" w:sz="0" w:space="0" w:color="auto"/>
      </w:divBdr>
      <w:divsChild>
        <w:div w:id="996609444">
          <w:marLeft w:val="1080"/>
          <w:marRight w:val="0"/>
          <w:marTop w:val="75"/>
          <w:marBottom w:val="120"/>
          <w:divBdr>
            <w:top w:val="none" w:sz="0" w:space="0" w:color="auto"/>
            <w:left w:val="none" w:sz="0" w:space="0" w:color="auto"/>
            <w:bottom w:val="none" w:sz="0" w:space="0" w:color="auto"/>
            <w:right w:val="none" w:sz="0" w:space="0" w:color="auto"/>
          </w:divBdr>
        </w:div>
        <w:div w:id="903179248">
          <w:marLeft w:val="1080"/>
          <w:marRight w:val="0"/>
          <w:marTop w:val="75"/>
          <w:marBottom w:val="120"/>
          <w:divBdr>
            <w:top w:val="none" w:sz="0" w:space="0" w:color="auto"/>
            <w:left w:val="none" w:sz="0" w:space="0" w:color="auto"/>
            <w:bottom w:val="none" w:sz="0" w:space="0" w:color="auto"/>
            <w:right w:val="none" w:sz="0" w:space="0" w:color="auto"/>
          </w:divBdr>
        </w:div>
        <w:div w:id="209806955">
          <w:marLeft w:val="1080"/>
          <w:marRight w:val="0"/>
          <w:marTop w:val="75"/>
          <w:marBottom w:val="120"/>
          <w:divBdr>
            <w:top w:val="none" w:sz="0" w:space="0" w:color="auto"/>
            <w:left w:val="none" w:sz="0" w:space="0" w:color="auto"/>
            <w:bottom w:val="none" w:sz="0" w:space="0" w:color="auto"/>
            <w:right w:val="none" w:sz="0" w:space="0" w:color="auto"/>
          </w:divBdr>
        </w:div>
        <w:div w:id="1208682877">
          <w:marLeft w:val="108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runet@unicef.org" TargetMode="External"/><Relationship Id="rId5" Type="http://schemas.openxmlformats.org/officeDocument/2006/relationships/webSettings" Target="webSettings.xml"/><Relationship Id="rId10" Type="http://schemas.openxmlformats.org/officeDocument/2006/relationships/hyperlink" Target="https://secure.dc7.pageuppeople.com/apply/671/gateway/Default.aspx?c=apply&amp;sJobIDs=577935&amp;SourceTypeID=796&amp;sLanguage=en-us" TargetMode="External"/><Relationship Id="rId4" Type="http://schemas.openxmlformats.org/officeDocument/2006/relationships/settings" Target="settings.xml"/><Relationship Id="rId9" Type="http://schemas.openxmlformats.org/officeDocument/2006/relationships/hyperlink" Target="https://www.unicef.org/environment-and-climate-chan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reports/toxic-truth-childrens-exposure-to-lead-pollution-2020" TargetMode="External"/><Relationship Id="rId2" Type="http://schemas.openxmlformats.org/officeDocument/2006/relationships/hyperlink" Target="https://www.unicef.org/media/91216/file/Healthy-Environments-for-Healthy-Children-Global-Programme-Framework-2021.pdf" TargetMode="External"/><Relationship Id="rId1" Type="http://schemas.openxmlformats.org/officeDocument/2006/relationships/hyperlink" Target="https://www.unicef.org/press-releases/one-billion-children-extremely-high-risk-impacts-climate-crisis-unice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16206-3F91-4E67-B893-B2158B4B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7</Pages>
  <Words>2972</Words>
  <Characters>16946</Characters>
  <Application>Microsoft Office Word</Application>
  <DocSecurity>0</DocSecurity>
  <Lines>141</Lines>
  <Paragraphs>39</Paragraphs>
  <ScaleCrop>false</ScaleCrop>
  <HeadingPairs>
    <vt:vector size="6" baseType="variant">
      <vt:variant>
        <vt:lpstr>Title</vt:lpstr>
      </vt:variant>
      <vt:variant>
        <vt:i4>1</vt:i4>
      </vt:variant>
      <vt:variant>
        <vt:lpstr>Headings</vt:lpstr>
      </vt:variant>
      <vt:variant>
        <vt:i4>12</vt:i4>
      </vt:variant>
      <vt:variant>
        <vt:lpstr>Titre</vt:lpstr>
      </vt:variant>
      <vt:variant>
        <vt:i4>1</vt:i4>
      </vt:variant>
    </vt:vector>
  </HeadingPairs>
  <TitlesOfParts>
    <vt:vector size="14" baseType="lpstr">
      <vt:lpstr/>
      <vt:lpstr/>
      <vt:lpstr>Important : Seront systématiquement éliminées à l’issue de cette phase toutes le</vt:lpstr>
      <vt:lpstr/>
      <vt:lpstr>A l’issue de cette phase, chaque offre financière sera dotée d’une note (F) sur </vt:lpstr>
      <vt:lpstr>La note 100 sera attribuée à l’offre valable techniquement et le moins-disant. P</vt:lpstr>
      <vt:lpstr/>
      <vt:lpstr>Les notes technique (T) et financière (F) obtenues pour chaque candidat seront p</vt:lpstr>
      <vt:lpstr>(80% pour l’offre technique </vt:lpstr>
      <vt:lpstr>(20% pour l’offre financière</vt:lpstr>
      <vt:lpstr>N= 0,8 * T + 0,2* F</vt:lpstr>
      <vt:lpstr>Le contrat sera adjugé à l’offre ayant obtenu la note « N » la plus élevée. </vt:lpstr>
      <vt: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WAHABI</dc:creator>
  <cp:keywords/>
  <dc:description/>
  <cp:lastModifiedBy>Salima Sadeq</cp:lastModifiedBy>
  <cp:revision>85</cp:revision>
  <dcterms:created xsi:type="dcterms:W3CDTF">2024-12-05T14:53:00Z</dcterms:created>
  <dcterms:modified xsi:type="dcterms:W3CDTF">2024-12-17T13:56:00Z</dcterms:modified>
</cp:coreProperties>
</file>