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  <w:lang w:val="fr-MA" w:eastAsia="fr-MA" w:bidi="ar-SA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09B34093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847852">
        <w:rPr>
          <w:rFonts w:ascii="Arial" w:hAnsi="Arial" w:cs="Arial"/>
          <w:b/>
          <w:sz w:val="24"/>
          <w:szCs w:val="24"/>
        </w:rPr>
        <w:t>83465565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199CC03B" w:rsidR="00E97A2C" w:rsidRDefault="00340725" w:rsidP="00905171">
      <w:pPr>
        <w:spacing w:line="480" w:lineRule="auto"/>
        <w:ind w:left="720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>La Deutsche Gesellschaft für Internationale Zusammenarbeit (GIZ) GmbH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E50418">
        <w:rPr>
          <w:rFonts w:ascii="Arial" w:hAnsi="Arial" w:cs="Arial"/>
        </w:rPr>
        <w:t>à</w:t>
      </w:r>
      <w:r w:rsidR="009D22E0" w:rsidRPr="009D22E0">
        <w:rPr>
          <w:rFonts w:ascii="Arial" w:hAnsi="Arial" w:cs="Arial"/>
        </w:rPr>
        <w:t xml:space="preserve"> </w:t>
      </w:r>
      <w:r w:rsidR="00905171" w:rsidRPr="00905171">
        <w:rPr>
          <w:rFonts w:ascii="Arial" w:hAnsi="Arial" w:cs="Arial"/>
          <w:b/>
          <w:bCs/>
        </w:rPr>
        <w:t>Conception de la plateforme E-learning ANAPEC ACADEMIE et renforcement des capacités de l’ANAPEC et ses partenaires</w:t>
      </w:r>
      <w:r w:rsidR="00301E50">
        <w:rPr>
          <w:rFonts w:ascii="Arial" w:hAnsi="Arial" w:cs="Arial"/>
          <w:b/>
          <w:bCs/>
        </w:rPr>
        <w:t>.</w:t>
      </w:r>
    </w:p>
    <w:p w14:paraId="14859E28" w14:textId="77777777" w:rsidR="009D22E0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3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4164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47852"/>
    <w:rsid w:val="00851EAC"/>
    <w:rsid w:val="00864EF5"/>
    <w:rsid w:val="008E2BE2"/>
    <w:rsid w:val="008E3248"/>
    <w:rsid w:val="008E4F49"/>
    <w:rsid w:val="008F14B1"/>
    <w:rsid w:val="008F48F9"/>
    <w:rsid w:val="00905171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6058A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7520A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3</cp:revision>
  <cp:lastPrinted>2020-09-08T15:43:00Z</cp:lastPrinted>
  <dcterms:created xsi:type="dcterms:W3CDTF">2024-05-15T22:22:00Z</dcterms:created>
  <dcterms:modified xsi:type="dcterms:W3CDTF">2024-05-16T11:00:00Z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