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FB" w:rsidRPr="00106F9E" w:rsidRDefault="005F48FB" w:rsidP="009B0058">
      <w:pPr>
        <w:spacing w:line="276" w:lineRule="auto"/>
        <w:jc w:val="both"/>
        <w:rPr>
          <w:rFonts w:cstheme="minorHAnsi"/>
          <w:b/>
        </w:rPr>
      </w:pPr>
    </w:p>
    <w:p w:rsidR="00B429F3" w:rsidRPr="00106F9E" w:rsidRDefault="00B429F3" w:rsidP="00B429F3">
      <w:pPr>
        <w:spacing w:line="276" w:lineRule="auto"/>
        <w:jc w:val="center"/>
        <w:rPr>
          <w:rFonts w:cstheme="minorHAnsi"/>
          <w:b/>
          <w:bCs/>
          <w:sz w:val="28"/>
          <w:szCs w:val="28"/>
        </w:rPr>
      </w:pPr>
      <w:r w:rsidRPr="00106F9E">
        <w:rPr>
          <w:rFonts w:cstheme="minorHAnsi"/>
          <w:b/>
          <w:bCs/>
          <w:sz w:val="28"/>
          <w:szCs w:val="28"/>
        </w:rPr>
        <w:t>TERMES DE REFERENCE</w:t>
      </w:r>
    </w:p>
    <w:p w:rsidR="00B429F3" w:rsidRPr="00106F9E" w:rsidRDefault="00CA7465" w:rsidP="009B0058">
      <w:pPr>
        <w:spacing w:line="276" w:lineRule="auto"/>
        <w:jc w:val="center"/>
        <w:rPr>
          <w:rFonts w:cstheme="minorHAnsi"/>
          <w:b/>
          <w:bCs/>
          <w:sz w:val="28"/>
          <w:szCs w:val="28"/>
        </w:rPr>
      </w:pPr>
      <w:r w:rsidRPr="00106F9E">
        <w:rPr>
          <w:rFonts w:cstheme="minorHAnsi"/>
          <w:b/>
          <w:bCs/>
          <w:sz w:val="28"/>
          <w:szCs w:val="28"/>
        </w:rPr>
        <w:t>Appel à candidature pour recrutement d’un con</w:t>
      </w:r>
      <w:r w:rsidR="004F60A9" w:rsidRPr="00106F9E">
        <w:rPr>
          <w:rFonts w:cstheme="minorHAnsi"/>
          <w:b/>
          <w:bCs/>
          <w:sz w:val="28"/>
          <w:szCs w:val="28"/>
        </w:rPr>
        <w:t>sultant chargé de</w:t>
      </w:r>
      <w:r w:rsidR="00B429F3" w:rsidRPr="00106F9E">
        <w:rPr>
          <w:rFonts w:cstheme="minorHAnsi"/>
          <w:b/>
          <w:bCs/>
          <w:sz w:val="28"/>
          <w:szCs w:val="28"/>
        </w:rPr>
        <w:t xml:space="preserve"> </w:t>
      </w:r>
    </w:p>
    <w:p w:rsidR="00B429F3" w:rsidRPr="00106F9E" w:rsidRDefault="00B429F3" w:rsidP="00B429F3">
      <w:pPr>
        <w:spacing w:line="276" w:lineRule="auto"/>
        <w:jc w:val="both"/>
        <w:rPr>
          <w:rFonts w:cstheme="minorHAnsi"/>
          <w:b/>
          <w:sz w:val="28"/>
          <w:szCs w:val="28"/>
        </w:rPr>
      </w:pPr>
      <w:r w:rsidRPr="00106F9E">
        <w:rPr>
          <w:rFonts w:cstheme="minorHAnsi"/>
          <w:b/>
          <w:sz w:val="28"/>
          <w:szCs w:val="28"/>
        </w:rPr>
        <w:t xml:space="preserve">Etude sur les mutilations génitales féminines chez les migrantes au Maroc. </w:t>
      </w:r>
    </w:p>
    <w:p w:rsidR="005F48FB" w:rsidRPr="00106F9E" w:rsidRDefault="00DE75E9" w:rsidP="009B0058">
      <w:pPr>
        <w:spacing w:line="276" w:lineRule="auto"/>
        <w:jc w:val="center"/>
        <w:rPr>
          <w:rFonts w:cstheme="minorHAnsi"/>
          <w:b/>
          <w:bCs/>
          <w:sz w:val="28"/>
          <w:szCs w:val="28"/>
        </w:rPr>
      </w:pPr>
      <w:r w:rsidRPr="00106F9E">
        <w:rPr>
          <w:rFonts w:cstheme="minorHAnsi"/>
          <w:b/>
          <w:bCs/>
          <w:sz w:val="28"/>
          <w:szCs w:val="28"/>
        </w:rPr>
        <w:t>Avril 202</w:t>
      </w:r>
      <w:r w:rsidR="00BF643D" w:rsidRPr="00106F9E">
        <w:rPr>
          <w:rFonts w:cstheme="minorHAnsi"/>
          <w:b/>
          <w:bCs/>
          <w:sz w:val="28"/>
          <w:szCs w:val="28"/>
        </w:rPr>
        <w:t>4</w:t>
      </w:r>
    </w:p>
    <w:p w:rsidR="00CA7465" w:rsidRPr="00106F9E" w:rsidRDefault="005F48FB" w:rsidP="009B0058">
      <w:pPr>
        <w:pStyle w:val="Titre1"/>
        <w:spacing w:line="276" w:lineRule="auto"/>
        <w:rPr>
          <w:rFonts w:asciiTheme="minorHAnsi" w:hAnsiTheme="minorHAnsi" w:cstheme="minorHAnsi"/>
          <w:b/>
          <w:sz w:val="28"/>
          <w:szCs w:val="28"/>
        </w:rPr>
      </w:pPr>
      <w:r w:rsidRPr="00106F9E">
        <w:rPr>
          <w:rFonts w:asciiTheme="minorHAnsi" w:hAnsiTheme="minorHAnsi" w:cstheme="minorHAnsi"/>
          <w:b/>
          <w:sz w:val="28"/>
          <w:szCs w:val="28"/>
        </w:rPr>
        <w:t xml:space="preserve">Introduction </w:t>
      </w:r>
    </w:p>
    <w:p w:rsidR="00CA7465" w:rsidRPr="00106F9E" w:rsidRDefault="00CA7465" w:rsidP="009B0058">
      <w:pPr>
        <w:spacing w:line="276" w:lineRule="auto"/>
        <w:jc w:val="both"/>
        <w:rPr>
          <w:rFonts w:cstheme="minorHAnsi"/>
        </w:rPr>
      </w:pPr>
      <w:r w:rsidRPr="00106F9E">
        <w:rPr>
          <w:rFonts w:cstheme="minorHAnsi"/>
        </w:rPr>
        <w:t>Recrutement d’un</w:t>
      </w:r>
      <w:r w:rsidR="009B0058" w:rsidRPr="00106F9E">
        <w:rPr>
          <w:rFonts w:cstheme="minorHAnsi"/>
        </w:rPr>
        <w:t>-e</w:t>
      </w:r>
      <w:r w:rsidRPr="00106F9E">
        <w:rPr>
          <w:rFonts w:cstheme="minorHAnsi"/>
        </w:rPr>
        <w:t xml:space="preserve"> consultant</w:t>
      </w:r>
      <w:r w:rsidR="009B0058" w:rsidRPr="00106F9E">
        <w:rPr>
          <w:rFonts w:cstheme="minorHAnsi"/>
        </w:rPr>
        <w:t>-e</w:t>
      </w:r>
      <w:r w:rsidRPr="00106F9E">
        <w:rPr>
          <w:rFonts w:cstheme="minorHAnsi"/>
        </w:rPr>
        <w:t xml:space="preserve"> national</w:t>
      </w:r>
      <w:r w:rsidR="009B0058" w:rsidRPr="00106F9E">
        <w:rPr>
          <w:rFonts w:cstheme="minorHAnsi"/>
        </w:rPr>
        <w:t xml:space="preserve">-e </w:t>
      </w:r>
      <w:r w:rsidRPr="00106F9E">
        <w:rPr>
          <w:rFonts w:cstheme="minorHAnsi"/>
        </w:rPr>
        <w:t xml:space="preserve">pour </w:t>
      </w:r>
      <w:r w:rsidR="00BF643D" w:rsidRPr="00106F9E">
        <w:rPr>
          <w:rFonts w:cstheme="minorHAnsi"/>
        </w:rPr>
        <w:t xml:space="preserve">la réalisation d’une étude sur l’état des lieux de mutilation génitale chez les migrantes au Maroc. </w:t>
      </w:r>
    </w:p>
    <w:p w:rsidR="00CA7465" w:rsidRPr="00106F9E" w:rsidRDefault="00CA7465" w:rsidP="009B0058">
      <w:pPr>
        <w:pStyle w:val="Titre1"/>
        <w:spacing w:line="276" w:lineRule="auto"/>
        <w:jc w:val="both"/>
        <w:rPr>
          <w:rFonts w:asciiTheme="minorHAnsi" w:hAnsiTheme="minorHAnsi" w:cstheme="minorHAnsi"/>
          <w:b/>
          <w:sz w:val="24"/>
          <w:szCs w:val="24"/>
        </w:rPr>
      </w:pPr>
      <w:r w:rsidRPr="00106F9E">
        <w:rPr>
          <w:rFonts w:asciiTheme="minorHAnsi" w:hAnsiTheme="minorHAnsi" w:cstheme="minorHAnsi"/>
          <w:b/>
          <w:sz w:val="24"/>
          <w:szCs w:val="24"/>
        </w:rPr>
        <w:t xml:space="preserve">CONTEXTE ET JUSTIFICATIF </w:t>
      </w:r>
    </w:p>
    <w:p w:rsidR="008B153C" w:rsidRPr="00106F9E" w:rsidRDefault="008B153C" w:rsidP="009B0058">
      <w:pPr>
        <w:spacing w:line="276" w:lineRule="auto"/>
        <w:jc w:val="both"/>
        <w:rPr>
          <w:rFonts w:cstheme="minorHAnsi"/>
        </w:rPr>
      </w:pPr>
      <w:r w:rsidRPr="00106F9E">
        <w:rPr>
          <w:rFonts w:cstheme="minorHAnsi"/>
        </w:rPr>
        <w:t xml:space="preserve">La pertinence du plaidoyer en faveur des droits de la femme et des diversités de genres dans le cadre du système international des droits humains n’est plus à démontrer. Notamment, pour lutter contre </w:t>
      </w:r>
      <w:r w:rsidR="00BF643D" w:rsidRPr="00106F9E">
        <w:rPr>
          <w:rFonts w:cstheme="minorHAnsi"/>
        </w:rPr>
        <w:t>les pratiques néfastes c</w:t>
      </w:r>
      <w:r w:rsidRPr="00106F9E">
        <w:rPr>
          <w:rFonts w:cstheme="minorHAnsi"/>
        </w:rPr>
        <w:t xml:space="preserve">oncernant les inégalités sociales, politiques et économiques qui touchent plus particulièrement les femmes. </w:t>
      </w:r>
    </w:p>
    <w:p w:rsidR="009D7300" w:rsidRPr="00106F9E" w:rsidRDefault="009D7300" w:rsidP="009B0058">
      <w:pPr>
        <w:spacing w:line="276" w:lineRule="auto"/>
        <w:jc w:val="both"/>
        <w:rPr>
          <w:rFonts w:cstheme="minorHAnsi"/>
        </w:rPr>
      </w:pPr>
      <w:r w:rsidRPr="00106F9E">
        <w:rPr>
          <w:rFonts w:cstheme="minorHAnsi"/>
        </w:rPr>
        <w:t xml:space="preserve">Les mutilations génitales féminines (MGF) est l’une des pratiques néfastes demeurant une violation grave des droits humains et une pratique préjudiciable à la santé et au bien-être des femmes et des filles. Bien que des progrès aient été réalisés dans la lutte contre les MGF, elles persistent encore dans de nombreux pays. </w:t>
      </w:r>
    </w:p>
    <w:p w:rsidR="009D7300" w:rsidRPr="00106F9E" w:rsidRDefault="009D7300" w:rsidP="009B0058">
      <w:pPr>
        <w:spacing w:line="276" w:lineRule="auto"/>
        <w:jc w:val="both"/>
        <w:rPr>
          <w:rFonts w:cstheme="minorHAnsi"/>
        </w:rPr>
      </w:pPr>
    </w:p>
    <w:p w:rsidR="007630D3" w:rsidRPr="00106F9E" w:rsidRDefault="007630D3" w:rsidP="009B0058">
      <w:pPr>
        <w:spacing w:line="276" w:lineRule="auto"/>
        <w:jc w:val="both"/>
        <w:rPr>
          <w:rFonts w:cstheme="minorHAnsi"/>
        </w:rPr>
      </w:pPr>
      <w:r w:rsidRPr="00106F9E">
        <w:rPr>
          <w:rFonts w:cstheme="minorHAnsi"/>
        </w:rPr>
        <w:t xml:space="preserve">Les mutilations génitales féminines (MGF) demeurent un sujet préoccupant dans la région MENA. Selon les recherches et les données disponibles, il est évident que les MGF sont pratiqués dans plusieurs pays de la région. Elles se présentent sous différentes formes, allant de l'excision clitoridienne à l'infibulation. La prévalence des MGF varie d'un pays à l'autre, mais des enquêtes révèlent une prévalence élevée dans des pays tels que l'Égypte, le Soudan et l'Érythrée. Les conséquences physiques et psychologiques des MGF sont graves et peuvent inclure des problèmes de santé à court terme et à long terme, tels que des infections, des douleurs chroniques et des complications lors de l'accouchement. Il est essentiel de comprendre et de documenter l'étendue de ce problème dans la région afin de mettre en place des stratégies efficaces pour éliminer les MGF. </w:t>
      </w:r>
    </w:p>
    <w:p w:rsidR="009D7300" w:rsidRPr="00106F9E" w:rsidRDefault="009D7300" w:rsidP="009B0058">
      <w:pPr>
        <w:spacing w:line="276" w:lineRule="auto"/>
        <w:jc w:val="both"/>
        <w:rPr>
          <w:rFonts w:cstheme="minorHAnsi"/>
        </w:rPr>
      </w:pPr>
    </w:p>
    <w:p w:rsidR="007630D3" w:rsidRPr="00106F9E" w:rsidRDefault="009D7300" w:rsidP="009B0058">
      <w:pPr>
        <w:spacing w:line="276" w:lineRule="auto"/>
        <w:jc w:val="both"/>
        <w:rPr>
          <w:rFonts w:cstheme="minorHAnsi"/>
        </w:rPr>
      </w:pPr>
      <w:r w:rsidRPr="00106F9E">
        <w:rPr>
          <w:rFonts w:cstheme="minorHAnsi"/>
        </w:rPr>
        <w:t xml:space="preserve">La situation des mutilations génitales féminines chez les migrants au Maroc n’est pas connue. Une seule étude à notre connaissance a montré que parmi les migrantes recrutéEs 30% de ces migrantes ont eu une mutilation génitale (Acharaii et al, 2023). Nous savons très bien qu’n profil commun parmi les migrantes concernées est celui de jeunes filles âgées entre 5 et 15 ans, originaires de pays où les mutilations génitales féminines sont largement pratiquées. Ces migrantes sont souvent victimes de pressions sociales et culturelles, ainsi que de croyances erronées sur la féminité et la sexualité. Les facteurs derisque comprennent également les </w:t>
      </w:r>
      <w:r w:rsidRPr="00106F9E">
        <w:rPr>
          <w:rFonts w:cstheme="minorHAnsi"/>
        </w:rPr>
        <w:lastRenderedPageBreak/>
        <w:t xml:space="preserve">mariages précoces et forcés, ainsi que la faible éducation et l'isolement social. Malheureusement, l'accès aux soins et au soutien pour les migrants victimes de mutilations génitales féminines est limité. Les services de santé et de soutien adaptés à leurs besoins spécifiques sont insuffisants et ils rencontrent souvent des obstacles linguistiques et culturels. En effet, il est important d’explorer </w:t>
      </w:r>
      <w:r w:rsidR="00A56AE2" w:rsidRPr="00106F9E">
        <w:rPr>
          <w:rFonts w:cstheme="minorHAnsi"/>
        </w:rPr>
        <w:t xml:space="preserve">l’état des lieux de ce phénomène au Maroc, Identifier les facteurs de risque et de protection associés aux MGF au Maroc, en mettant en évidence les déterminants sociaux, culturels afin </w:t>
      </w:r>
      <w:r w:rsidRPr="00106F9E">
        <w:rPr>
          <w:rFonts w:cstheme="minorHAnsi"/>
        </w:rPr>
        <w:t>de renforcer l'accès à des services de santé sensibles à la migration et à la violence basée sur le genre, afin de garantir le soutien et la guérison des victimes de mutilations génitales féminines parmi les migrant</w:t>
      </w:r>
      <w:r w:rsidR="00A56AE2" w:rsidRPr="00106F9E">
        <w:rPr>
          <w:rFonts w:cstheme="minorHAnsi"/>
        </w:rPr>
        <w:t>e</w:t>
      </w:r>
      <w:r w:rsidRPr="00106F9E">
        <w:rPr>
          <w:rFonts w:cstheme="minorHAnsi"/>
        </w:rPr>
        <w:t>s au Maroc.</w:t>
      </w:r>
    </w:p>
    <w:p w:rsidR="009D7300" w:rsidRPr="00106F9E" w:rsidRDefault="00A56AE2" w:rsidP="009B0058">
      <w:pPr>
        <w:spacing w:line="276" w:lineRule="auto"/>
        <w:jc w:val="both"/>
        <w:rPr>
          <w:rFonts w:cstheme="minorHAnsi"/>
        </w:rPr>
      </w:pPr>
      <w:r w:rsidRPr="00106F9E">
        <w:rPr>
          <w:rFonts w:cstheme="minorHAnsi"/>
        </w:rPr>
        <w:t>Dans ce sens, c</w:t>
      </w:r>
      <w:r w:rsidR="009D7300" w:rsidRPr="00106F9E">
        <w:rPr>
          <w:rFonts w:cstheme="minorHAnsi"/>
        </w:rPr>
        <w:t>ette consultation vise à mieux comprendre la situation des MGF au Maroc, en identifiant les facteurs de risque, les interventions efficaces, et les défis à relever pour les éliminer.</w:t>
      </w:r>
    </w:p>
    <w:p w:rsidR="00CA7465" w:rsidRPr="00106F9E" w:rsidRDefault="00CA7465" w:rsidP="009B0058">
      <w:pPr>
        <w:pStyle w:val="Titre1"/>
        <w:spacing w:line="276" w:lineRule="auto"/>
        <w:jc w:val="both"/>
        <w:rPr>
          <w:rFonts w:asciiTheme="minorHAnsi" w:hAnsiTheme="minorHAnsi" w:cstheme="minorHAnsi"/>
          <w:b/>
          <w:sz w:val="24"/>
          <w:szCs w:val="24"/>
        </w:rPr>
      </w:pPr>
      <w:r w:rsidRPr="00106F9E">
        <w:rPr>
          <w:rFonts w:asciiTheme="minorHAnsi" w:hAnsiTheme="minorHAnsi" w:cstheme="minorHAnsi"/>
          <w:b/>
          <w:sz w:val="24"/>
          <w:szCs w:val="24"/>
        </w:rPr>
        <w:t xml:space="preserve">OBJECTIFS DE LA MISSION </w:t>
      </w:r>
    </w:p>
    <w:p w:rsidR="00E3567B" w:rsidRPr="00106F9E" w:rsidRDefault="00E3567B" w:rsidP="009B0058">
      <w:pPr>
        <w:spacing w:line="276" w:lineRule="auto"/>
        <w:jc w:val="both"/>
        <w:rPr>
          <w:rFonts w:cstheme="minorHAnsi"/>
        </w:rPr>
      </w:pPr>
    </w:p>
    <w:p w:rsidR="00CA7465" w:rsidRPr="00106F9E" w:rsidRDefault="00CA7465" w:rsidP="009B0058">
      <w:pPr>
        <w:spacing w:line="276" w:lineRule="auto"/>
        <w:jc w:val="both"/>
        <w:rPr>
          <w:rFonts w:cstheme="minorHAnsi"/>
          <w:b/>
        </w:rPr>
      </w:pPr>
      <w:r w:rsidRPr="00106F9E">
        <w:rPr>
          <w:rFonts w:cstheme="minorHAnsi"/>
          <w:b/>
        </w:rPr>
        <w:t xml:space="preserve">Objectif général : </w:t>
      </w:r>
    </w:p>
    <w:p w:rsidR="00A56AE2" w:rsidRPr="00106F9E" w:rsidRDefault="00725DD2" w:rsidP="009B0058">
      <w:pPr>
        <w:spacing w:line="276" w:lineRule="auto"/>
        <w:jc w:val="both"/>
        <w:rPr>
          <w:rFonts w:cstheme="minorHAnsi"/>
        </w:rPr>
      </w:pPr>
      <w:r w:rsidRPr="00106F9E">
        <w:rPr>
          <w:rFonts w:cstheme="minorHAnsi"/>
        </w:rPr>
        <w:t xml:space="preserve">Contribuer à la prévention des mutilations génitales chez les femmes migrantes au Maroc </w:t>
      </w:r>
    </w:p>
    <w:p w:rsidR="00A56AE2" w:rsidRPr="00106F9E" w:rsidRDefault="00A56AE2" w:rsidP="009B0058">
      <w:pPr>
        <w:spacing w:line="276" w:lineRule="auto"/>
        <w:jc w:val="both"/>
        <w:rPr>
          <w:rFonts w:cstheme="minorHAnsi"/>
        </w:rPr>
      </w:pPr>
    </w:p>
    <w:p w:rsidR="00A56AE2" w:rsidRPr="00106F9E" w:rsidRDefault="00A56AE2" w:rsidP="009B0058">
      <w:pPr>
        <w:spacing w:line="276" w:lineRule="auto"/>
        <w:jc w:val="both"/>
        <w:rPr>
          <w:rFonts w:cstheme="minorHAnsi"/>
          <w:b/>
        </w:rPr>
      </w:pPr>
      <w:r w:rsidRPr="00106F9E">
        <w:rPr>
          <w:rFonts w:cstheme="minorHAnsi"/>
          <w:b/>
        </w:rPr>
        <w:t xml:space="preserve">Objectifs spécifiques : </w:t>
      </w:r>
    </w:p>
    <w:p w:rsidR="00A56AE2" w:rsidRPr="00106F9E" w:rsidRDefault="00A56AE2" w:rsidP="009B0058">
      <w:pPr>
        <w:spacing w:line="276" w:lineRule="auto"/>
        <w:jc w:val="both"/>
        <w:rPr>
          <w:rFonts w:cstheme="minorHAnsi"/>
          <w:b/>
        </w:rPr>
      </w:pPr>
    </w:p>
    <w:p w:rsidR="00A56AE2" w:rsidRPr="00106F9E" w:rsidRDefault="00A56AE2" w:rsidP="009B0058">
      <w:pPr>
        <w:pStyle w:val="Paragraphedeliste"/>
        <w:numPr>
          <w:ilvl w:val="0"/>
          <w:numId w:val="12"/>
        </w:numPr>
        <w:spacing w:line="276" w:lineRule="auto"/>
        <w:jc w:val="both"/>
        <w:rPr>
          <w:rFonts w:cstheme="minorHAnsi"/>
        </w:rPr>
      </w:pPr>
      <w:r w:rsidRPr="00106F9E">
        <w:rPr>
          <w:rFonts w:cstheme="minorHAnsi"/>
        </w:rPr>
        <w:t xml:space="preserve">Déterminer la prévalence des mutilations génitales féminines </w:t>
      </w:r>
      <w:r w:rsidR="009334B2" w:rsidRPr="00106F9E">
        <w:rPr>
          <w:rFonts w:cstheme="minorHAnsi"/>
        </w:rPr>
        <w:t xml:space="preserve">chez les migrantes </w:t>
      </w:r>
      <w:r w:rsidRPr="00106F9E">
        <w:rPr>
          <w:rFonts w:cstheme="minorHAnsi"/>
        </w:rPr>
        <w:t>au Maroc (deux régions)</w:t>
      </w:r>
    </w:p>
    <w:p w:rsidR="00A56AE2" w:rsidRPr="00106F9E" w:rsidRDefault="009334B2" w:rsidP="009B0058">
      <w:pPr>
        <w:pStyle w:val="Paragraphedeliste"/>
        <w:numPr>
          <w:ilvl w:val="0"/>
          <w:numId w:val="12"/>
        </w:numPr>
        <w:spacing w:line="276" w:lineRule="auto"/>
        <w:jc w:val="both"/>
        <w:rPr>
          <w:rFonts w:cstheme="minorHAnsi"/>
        </w:rPr>
      </w:pPr>
      <w:r w:rsidRPr="00106F9E">
        <w:rPr>
          <w:rFonts w:cstheme="minorHAnsi"/>
        </w:rPr>
        <w:t xml:space="preserve">Explorer </w:t>
      </w:r>
      <w:r w:rsidR="00A56AE2" w:rsidRPr="00106F9E">
        <w:rPr>
          <w:rFonts w:cstheme="minorHAnsi"/>
        </w:rPr>
        <w:t>les connaissances, attitudes et pratiques des femmes, des hommes et des prestataires de soins de santé concernant les mutilations génitales féminines.</w:t>
      </w:r>
    </w:p>
    <w:p w:rsidR="00E67C09" w:rsidRPr="00106F9E" w:rsidRDefault="00A56AE2" w:rsidP="009B0058">
      <w:pPr>
        <w:pStyle w:val="Paragraphedeliste"/>
        <w:numPr>
          <w:ilvl w:val="0"/>
          <w:numId w:val="12"/>
        </w:numPr>
        <w:spacing w:line="276" w:lineRule="auto"/>
        <w:jc w:val="both"/>
        <w:rPr>
          <w:rFonts w:cstheme="minorHAnsi"/>
        </w:rPr>
      </w:pPr>
      <w:r w:rsidRPr="00106F9E">
        <w:rPr>
          <w:rFonts w:cstheme="minorHAnsi"/>
        </w:rPr>
        <w:t>Proposer des recommandations pour la prévention des mutilations génitales féminines et l'amélioration de la prise en charge des</w:t>
      </w:r>
      <w:r w:rsidR="00725DD2" w:rsidRPr="00106F9E">
        <w:rPr>
          <w:rFonts w:cstheme="minorHAnsi"/>
        </w:rPr>
        <w:t>migrantes affectées</w:t>
      </w:r>
      <w:r w:rsidRPr="00106F9E">
        <w:rPr>
          <w:rFonts w:cstheme="minorHAnsi"/>
        </w:rPr>
        <w:t xml:space="preserve"> au Maroc.</w:t>
      </w:r>
    </w:p>
    <w:p w:rsidR="00CA7465" w:rsidRPr="00106F9E" w:rsidRDefault="00CA7465" w:rsidP="009B0058">
      <w:pPr>
        <w:pStyle w:val="Titre1"/>
        <w:spacing w:line="276" w:lineRule="auto"/>
        <w:jc w:val="both"/>
        <w:rPr>
          <w:rFonts w:asciiTheme="minorHAnsi" w:hAnsiTheme="minorHAnsi" w:cstheme="minorHAnsi"/>
          <w:b/>
          <w:sz w:val="24"/>
          <w:szCs w:val="24"/>
        </w:rPr>
      </w:pPr>
      <w:r w:rsidRPr="00106F9E">
        <w:rPr>
          <w:rFonts w:asciiTheme="minorHAnsi" w:hAnsiTheme="minorHAnsi" w:cstheme="minorHAnsi"/>
          <w:b/>
          <w:sz w:val="24"/>
          <w:szCs w:val="24"/>
        </w:rPr>
        <w:t xml:space="preserve">PROFIL DU CONSULTANT </w:t>
      </w:r>
    </w:p>
    <w:p w:rsidR="00CA7465" w:rsidRPr="00106F9E" w:rsidRDefault="00CA7465" w:rsidP="009B0058">
      <w:pPr>
        <w:spacing w:line="276" w:lineRule="auto"/>
        <w:jc w:val="both"/>
        <w:rPr>
          <w:rFonts w:cstheme="minorHAnsi"/>
        </w:rPr>
      </w:pPr>
      <w:r w:rsidRPr="00106F9E">
        <w:rPr>
          <w:rFonts w:cstheme="minorHAnsi"/>
        </w:rPr>
        <w:t xml:space="preserve">La/le consultant(e) doit avoir les compétences et les qualifications suivantes : </w:t>
      </w:r>
    </w:p>
    <w:p w:rsidR="00106F9E" w:rsidRDefault="00106F9E" w:rsidP="00106F9E">
      <w:pPr>
        <w:pStyle w:val="Default"/>
        <w:numPr>
          <w:ilvl w:val="0"/>
          <w:numId w:val="9"/>
        </w:numPr>
        <w:spacing w:line="276" w:lineRule="auto"/>
        <w:jc w:val="both"/>
        <w:rPr>
          <w:rFonts w:asciiTheme="minorHAnsi" w:hAnsiTheme="minorHAnsi" w:cstheme="minorHAnsi"/>
        </w:rPr>
      </w:pPr>
      <w:r w:rsidRPr="00690026">
        <w:rPr>
          <w:rFonts w:asciiTheme="minorHAnsi" w:hAnsiTheme="minorHAnsi" w:cstheme="minorHAnsi"/>
        </w:rPr>
        <w:t>Spécialiste en santé publique et/ou le cas échéant spécialiste en Gynéco-Obstétrique avec une expertise confirmée en santé publique,</w:t>
      </w:r>
    </w:p>
    <w:p w:rsidR="00106F9E" w:rsidRPr="00A12414" w:rsidRDefault="00106F9E" w:rsidP="00106F9E">
      <w:pPr>
        <w:pStyle w:val="Default"/>
        <w:numPr>
          <w:ilvl w:val="0"/>
          <w:numId w:val="9"/>
        </w:numPr>
        <w:spacing w:line="276" w:lineRule="auto"/>
        <w:jc w:val="both"/>
        <w:rPr>
          <w:rFonts w:asciiTheme="minorHAnsi" w:hAnsiTheme="minorHAnsi" w:cstheme="minorHAnsi"/>
        </w:rPr>
      </w:pPr>
      <w:r w:rsidRPr="00A12414">
        <w:rPr>
          <w:rFonts w:asciiTheme="minorHAnsi" w:hAnsiTheme="minorHAnsi" w:cstheme="minorHAnsi"/>
        </w:rPr>
        <w:t xml:space="preserve">Une expérience professionnelle confirmée de 10 ans minimum </w:t>
      </w:r>
    </w:p>
    <w:p w:rsidR="00106F9E" w:rsidRPr="00690026" w:rsidRDefault="00106F9E" w:rsidP="00106F9E">
      <w:pPr>
        <w:pStyle w:val="Default"/>
        <w:numPr>
          <w:ilvl w:val="0"/>
          <w:numId w:val="9"/>
        </w:numPr>
        <w:spacing w:line="276" w:lineRule="auto"/>
        <w:jc w:val="both"/>
        <w:rPr>
          <w:rFonts w:asciiTheme="minorHAnsi" w:hAnsiTheme="minorHAnsi" w:cstheme="minorHAnsi"/>
        </w:rPr>
      </w:pPr>
      <w:r w:rsidRPr="00690026">
        <w:rPr>
          <w:rFonts w:asciiTheme="minorHAnsi" w:hAnsiTheme="minorHAnsi" w:cstheme="minorHAnsi"/>
        </w:rPr>
        <w:t>Une bonne connaissance du système de santé national,</w:t>
      </w:r>
    </w:p>
    <w:p w:rsidR="00106F9E" w:rsidRPr="00690026" w:rsidRDefault="00106F9E" w:rsidP="00106F9E">
      <w:pPr>
        <w:pStyle w:val="Default"/>
        <w:numPr>
          <w:ilvl w:val="0"/>
          <w:numId w:val="9"/>
        </w:numPr>
        <w:spacing w:line="276" w:lineRule="auto"/>
        <w:jc w:val="both"/>
        <w:rPr>
          <w:rFonts w:asciiTheme="minorHAnsi" w:hAnsiTheme="minorHAnsi" w:cstheme="minorHAnsi"/>
        </w:rPr>
      </w:pPr>
      <w:r w:rsidRPr="00690026">
        <w:rPr>
          <w:rFonts w:asciiTheme="minorHAnsi" w:hAnsiTheme="minorHAnsi" w:cstheme="minorHAnsi"/>
        </w:rPr>
        <w:t>Une parfaite connaissance du référentiel international,</w:t>
      </w:r>
      <w:r>
        <w:rPr>
          <w:rFonts w:asciiTheme="minorHAnsi" w:hAnsiTheme="minorHAnsi" w:cstheme="minorHAnsi"/>
        </w:rPr>
        <w:t xml:space="preserve"> </w:t>
      </w:r>
      <w:r w:rsidRPr="00690026">
        <w:rPr>
          <w:rFonts w:asciiTheme="minorHAnsi" w:hAnsiTheme="minorHAnsi" w:cstheme="minorHAnsi"/>
        </w:rPr>
        <w:t>national et des programmes de SSR,</w:t>
      </w:r>
    </w:p>
    <w:p w:rsidR="00106F9E" w:rsidRPr="00690026" w:rsidRDefault="00106F9E" w:rsidP="00106F9E">
      <w:pPr>
        <w:pStyle w:val="Default"/>
        <w:numPr>
          <w:ilvl w:val="0"/>
          <w:numId w:val="9"/>
        </w:numPr>
        <w:spacing w:line="276" w:lineRule="auto"/>
        <w:jc w:val="both"/>
        <w:rPr>
          <w:rFonts w:asciiTheme="minorHAnsi" w:hAnsiTheme="minorHAnsi" w:cstheme="minorHAnsi"/>
        </w:rPr>
      </w:pPr>
      <w:r w:rsidRPr="00690026">
        <w:rPr>
          <w:rFonts w:asciiTheme="minorHAnsi" w:hAnsiTheme="minorHAnsi" w:cstheme="minorHAnsi"/>
        </w:rPr>
        <w:t>Une expérience dans la réalisation des études similaires,</w:t>
      </w:r>
    </w:p>
    <w:p w:rsidR="00106F9E" w:rsidRPr="00690026" w:rsidRDefault="00106F9E" w:rsidP="00106F9E">
      <w:pPr>
        <w:pStyle w:val="Default"/>
        <w:numPr>
          <w:ilvl w:val="0"/>
          <w:numId w:val="9"/>
        </w:numPr>
        <w:spacing w:line="276" w:lineRule="auto"/>
        <w:jc w:val="both"/>
        <w:rPr>
          <w:rFonts w:asciiTheme="minorHAnsi" w:hAnsiTheme="minorHAnsi" w:cstheme="minorHAnsi"/>
        </w:rPr>
      </w:pPr>
      <w:r w:rsidRPr="00690026">
        <w:rPr>
          <w:rFonts w:asciiTheme="minorHAnsi" w:hAnsiTheme="minorHAnsi" w:cstheme="minorHAnsi"/>
        </w:rPr>
        <w:t xml:space="preserve">Très bonne capacité rédactionnelle en français </w:t>
      </w:r>
    </w:p>
    <w:p w:rsidR="00106F9E" w:rsidRPr="00690026" w:rsidRDefault="00106F9E" w:rsidP="00106F9E">
      <w:pPr>
        <w:pStyle w:val="Default"/>
        <w:spacing w:line="276" w:lineRule="auto"/>
        <w:jc w:val="both"/>
        <w:rPr>
          <w:rFonts w:asciiTheme="minorHAnsi" w:hAnsiTheme="minorHAnsi" w:cstheme="minorHAnsi"/>
        </w:rPr>
      </w:pPr>
      <w:r w:rsidRPr="00690026">
        <w:rPr>
          <w:rFonts w:asciiTheme="minorHAnsi" w:hAnsiTheme="minorHAnsi" w:cstheme="minorHAnsi"/>
        </w:rPr>
        <w:t xml:space="preserve">L’offre est ouverte pour un/e consultant/e ou une équipe de consultant-e-s </w:t>
      </w:r>
    </w:p>
    <w:p w:rsidR="00CA7465" w:rsidRPr="00106F9E" w:rsidRDefault="00CA7465" w:rsidP="009B0058">
      <w:pPr>
        <w:pStyle w:val="Titre1"/>
        <w:spacing w:line="276" w:lineRule="auto"/>
        <w:jc w:val="both"/>
        <w:rPr>
          <w:rFonts w:asciiTheme="minorHAnsi" w:hAnsiTheme="minorHAnsi" w:cstheme="minorHAnsi"/>
          <w:b/>
          <w:sz w:val="24"/>
          <w:szCs w:val="24"/>
        </w:rPr>
      </w:pPr>
      <w:r w:rsidRPr="00106F9E">
        <w:rPr>
          <w:rFonts w:asciiTheme="minorHAnsi" w:hAnsiTheme="minorHAnsi" w:cstheme="minorHAnsi"/>
          <w:b/>
          <w:sz w:val="24"/>
          <w:szCs w:val="24"/>
        </w:rPr>
        <w:lastRenderedPageBreak/>
        <w:t xml:space="preserve">DEROULEMENT DE L’ACTIVITE ET LES LIVRABLES ATTENDUS </w:t>
      </w:r>
    </w:p>
    <w:p w:rsidR="00382211" w:rsidRPr="00106F9E" w:rsidRDefault="00106F9E" w:rsidP="009B0058">
      <w:pPr>
        <w:pStyle w:val="Paragraphedeliste"/>
        <w:numPr>
          <w:ilvl w:val="0"/>
          <w:numId w:val="10"/>
        </w:numPr>
        <w:spacing w:line="276" w:lineRule="auto"/>
        <w:jc w:val="both"/>
        <w:rPr>
          <w:rFonts w:cstheme="minorHAnsi"/>
        </w:rPr>
      </w:pPr>
      <w:r w:rsidRPr="00106F9E">
        <w:rPr>
          <w:rFonts w:cstheme="minorHAnsi"/>
        </w:rPr>
        <w:t xml:space="preserve">Livrable </w:t>
      </w:r>
      <w:r w:rsidR="00CA7465" w:rsidRPr="00106F9E">
        <w:rPr>
          <w:rFonts w:cstheme="minorHAnsi"/>
        </w:rPr>
        <w:t>1 : Une note m</w:t>
      </w:r>
      <w:r w:rsidR="00B13985" w:rsidRPr="00106F9E">
        <w:rPr>
          <w:rFonts w:cstheme="minorHAnsi"/>
        </w:rPr>
        <w:t xml:space="preserve">éthodologique </w:t>
      </w:r>
    </w:p>
    <w:p w:rsidR="00106F9E" w:rsidRPr="00106F9E" w:rsidRDefault="00106F9E" w:rsidP="00106F9E">
      <w:pPr>
        <w:pStyle w:val="Default"/>
        <w:numPr>
          <w:ilvl w:val="0"/>
          <w:numId w:val="10"/>
        </w:numPr>
        <w:spacing w:after="33" w:line="276" w:lineRule="auto"/>
        <w:jc w:val="both"/>
        <w:rPr>
          <w:rFonts w:asciiTheme="minorHAnsi" w:hAnsiTheme="minorHAnsi" w:cstheme="minorHAnsi"/>
        </w:rPr>
      </w:pPr>
      <w:r w:rsidRPr="00106F9E">
        <w:rPr>
          <w:rFonts w:asciiTheme="minorHAnsi" w:hAnsiTheme="minorHAnsi" w:cstheme="minorHAnsi"/>
        </w:rPr>
        <w:t xml:space="preserve">Livrable </w:t>
      </w:r>
      <w:r w:rsidR="009334B2" w:rsidRPr="00106F9E">
        <w:rPr>
          <w:rFonts w:asciiTheme="minorHAnsi" w:hAnsiTheme="minorHAnsi" w:cstheme="minorHAnsi"/>
        </w:rPr>
        <w:t>2 :</w:t>
      </w:r>
      <w:r w:rsidRPr="00106F9E">
        <w:rPr>
          <w:rFonts w:asciiTheme="minorHAnsi" w:hAnsiTheme="minorHAnsi" w:cstheme="minorHAnsi"/>
        </w:rPr>
        <w:t xml:space="preserve"> Revue de littérature et protocole de conduite de l’étude </w:t>
      </w:r>
    </w:p>
    <w:p w:rsidR="00106F9E" w:rsidRPr="00106F9E" w:rsidRDefault="00106F9E" w:rsidP="00106F9E">
      <w:pPr>
        <w:pStyle w:val="Default"/>
        <w:numPr>
          <w:ilvl w:val="0"/>
          <w:numId w:val="10"/>
        </w:numPr>
        <w:spacing w:after="33" w:line="276" w:lineRule="auto"/>
        <w:jc w:val="both"/>
        <w:rPr>
          <w:rFonts w:asciiTheme="minorHAnsi" w:hAnsiTheme="minorHAnsi" w:cstheme="minorHAnsi"/>
        </w:rPr>
      </w:pPr>
      <w:r w:rsidRPr="00106F9E">
        <w:rPr>
          <w:rFonts w:asciiTheme="minorHAnsi" w:hAnsiTheme="minorHAnsi" w:cstheme="minorHAnsi"/>
        </w:rPr>
        <w:t xml:space="preserve">Livrable 3 : Rapport des résultats de l’étude et des recommandations </w:t>
      </w:r>
    </w:p>
    <w:p w:rsidR="00106F9E" w:rsidRPr="00106F9E" w:rsidRDefault="00106F9E" w:rsidP="00106F9E">
      <w:pPr>
        <w:pStyle w:val="Default"/>
        <w:numPr>
          <w:ilvl w:val="0"/>
          <w:numId w:val="10"/>
        </w:numPr>
        <w:spacing w:line="276" w:lineRule="auto"/>
        <w:jc w:val="both"/>
        <w:rPr>
          <w:rFonts w:asciiTheme="minorHAnsi" w:hAnsiTheme="minorHAnsi" w:cstheme="minorHAnsi"/>
        </w:rPr>
      </w:pPr>
      <w:r w:rsidRPr="00106F9E">
        <w:rPr>
          <w:rFonts w:asciiTheme="minorHAnsi" w:hAnsiTheme="minorHAnsi" w:cstheme="minorHAnsi"/>
        </w:rPr>
        <w:t>Livrable 4 : Résumé exécutif de l’étude et présentation en PPT</w:t>
      </w:r>
      <w:r>
        <w:rPr>
          <w:rFonts w:asciiTheme="minorHAnsi" w:hAnsiTheme="minorHAnsi" w:cstheme="minorHAnsi"/>
        </w:rPr>
        <w:t>.</w:t>
      </w:r>
    </w:p>
    <w:p w:rsidR="00106F9E" w:rsidRDefault="00106F9E" w:rsidP="00106F9E">
      <w:pPr>
        <w:pStyle w:val="Default"/>
        <w:spacing w:line="276" w:lineRule="auto"/>
        <w:jc w:val="both"/>
        <w:rPr>
          <w:rFonts w:asciiTheme="minorHAnsi" w:hAnsiTheme="minorHAnsi" w:cstheme="minorHAnsi"/>
        </w:rPr>
      </w:pPr>
    </w:p>
    <w:p w:rsidR="00106F9E" w:rsidRPr="00690026" w:rsidRDefault="00106F9E" w:rsidP="00106F9E">
      <w:pPr>
        <w:pStyle w:val="Default"/>
        <w:spacing w:line="276" w:lineRule="auto"/>
        <w:jc w:val="both"/>
        <w:rPr>
          <w:rFonts w:asciiTheme="minorHAnsi" w:hAnsiTheme="minorHAnsi" w:cstheme="minorHAnsi"/>
        </w:rPr>
      </w:pPr>
      <w:r w:rsidRPr="00690026">
        <w:rPr>
          <w:rFonts w:asciiTheme="minorHAnsi" w:hAnsiTheme="minorHAnsi" w:cstheme="minorHAnsi"/>
        </w:rPr>
        <w:t xml:space="preserve">Les livrables doivent être élaborés en langue française. </w:t>
      </w:r>
    </w:p>
    <w:p w:rsidR="00CA7465" w:rsidRPr="00106F9E" w:rsidRDefault="009B0058" w:rsidP="009B0058">
      <w:pPr>
        <w:pStyle w:val="Titre1"/>
        <w:spacing w:line="276" w:lineRule="auto"/>
        <w:jc w:val="both"/>
        <w:rPr>
          <w:rFonts w:asciiTheme="minorHAnsi" w:hAnsiTheme="minorHAnsi" w:cstheme="minorHAnsi"/>
          <w:b/>
          <w:sz w:val="24"/>
          <w:szCs w:val="24"/>
        </w:rPr>
      </w:pPr>
      <w:r w:rsidRPr="00106F9E">
        <w:rPr>
          <w:rFonts w:asciiTheme="minorHAnsi" w:hAnsiTheme="minorHAnsi" w:cstheme="minorHAnsi"/>
          <w:b/>
          <w:sz w:val="24"/>
          <w:szCs w:val="24"/>
        </w:rPr>
        <w:t>MODALITE DE PAYEMENT</w:t>
      </w:r>
    </w:p>
    <w:p w:rsidR="00CA7465" w:rsidRPr="00106F9E" w:rsidRDefault="00CA7465" w:rsidP="009B0058">
      <w:pPr>
        <w:spacing w:line="276" w:lineRule="auto"/>
        <w:jc w:val="both"/>
        <w:rPr>
          <w:rFonts w:cstheme="minorHAnsi"/>
        </w:rPr>
      </w:pPr>
      <w:r w:rsidRPr="00106F9E">
        <w:rPr>
          <w:rFonts w:cstheme="minorHAnsi"/>
        </w:rPr>
        <w:t xml:space="preserve">A la réception des livrables. </w:t>
      </w:r>
    </w:p>
    <w:p w:rsidR="00CA7465" w:rsidRPr="00106F9E" w:rsidRDefault="00CA7465" w:rsidP="009B0058">
      <w:pPr>
        <w:pStyle w:val="Titre1"/>
        <w:spacing w:line="276" w:lineRule="auto"/>
        <w:jc w:val="both"/>
        <w:rPr>
          <w:rFonts w:asciiTheme="minorHAnsi" w:hAnsiTheme="minorHAnsi" w:cstheme="minorHAnsi"/>
          <w:b/>
          <w:sz w:val="24"/>
          <w:szCs w:val="24"/>
        </w:rPr>
      </w:pPr>
      <w:r w:rsidRPr="00106F9E">
        <w:rPr>
          <w:rFonts w:asciiTheme="minorHAnsi" w:hAnsiTheme="minorHAnsi" w:cstheme="minorHAnsi"/>
          <w:b/>
          <w:sz w:val="24"/>
          <w:szCs w:val="24"/>
        </w:rPr>
        <w:t xml:space="preserve">DOSSIER DE CANDIDATURE </w:t>
      </w:r>
    </w:p>
    <w:p w:rsidR="00CA7465" w:rsidRPr="00106F9E" w:rsidRDefault="00CA7465" w:rsidP="009B0058">
      <w:pPr>
        <w:spacing w:line="276" w:lineRule="auto"/>
        <w:jc w:val="both"/>
        <w:rPr>
          <w:rFonts w:cstheme="minorHAnsi"/>
        </w:rPr>
      </w:pPr>
      <w:r w:rsidRPr="00106F9E">
        <w:rPr>
          <w:rFonts w:cstheme="minorHAnsi"/>
        </w:rPr>
        <w:t xml:space="preserve">Les consultants soumissionnaires doivent fournir dans le cadre de leur proposition les éléments suivants : </w:t>
      </w:r>
    </w:p>
    <w:p w:rsidR="00CA7465" w:rsidRPr="00106F9E" w:rsidRDefault="00CA7465" w:rsidP="009B0058">
      <w:pPr>
        <w:spacing w:line="276" w:lineRule="auto"/>
        <w:jc w:val="both"/>
        <w:rPr>
          <w:rFonts w:cstheme="minorHAnsi"/>
        </w:rPr>
      </w:pPr>
      <w:r w:rsidRPr="00106F9E">
        <w:rPr>
          <w:rFonts w:cstheme="minorHAnsi"/>
        </w:rPr>
        <w:t xml:space="preserve">Une note méthodologique spécifiant l’approche qui sera adoptée pour </w:t>
      </w:r>
      <w:r w:rsidR="00D527E6" w:rsidRPr="00106F9E">
        <w:rPr>
          <w:rFonts w:cstheme="minorHAnsi"/>
        </w:rPr>
        <w:t>la consultation</w:t>
      </w:r>
      <w:r w:rsidRPr="00106F9E">
        <w:rPr>
          <w:rFonts w:cstheme="minorHAnsi"/>
        </w:rPr>
        <w:t xml:space="preserve"> et le calendrier </w:t>
      </w:r>
      <w:r w:rsidR="00B939CA" w:rsidRPr="00106F9E">
        <w:rPr>
          <w:rFonts w:cstheme="minorHAnsi"/>
        </w:rPr>
        <w:t>d’exécution ;</w:t>
      </w:r>
      <w:r w:rsidR="009B0058" w:rsidRPr="00106F9E">
        <w:rPr>
          <w:rFonts w:cstheme="minorHAnsi"/>
        </w:rPr>
        <w:t xml:space="preserve"> </w:t>
      </w:r>
      <w:r w:rsidRPr="00106F9E">
        <w:rPr>
          <w:rFonts w:cstheme="minorHAnsi"/>
        </w:rPr>
        <w:t>CV du consultant, indiquant les expériences dans les domaines cités ci-dessus ;</w:t>
      </w:r>
      <w:r w:rsidR="00B429F3" w:rsidRPr="00106F9E">
        <w:rPr>
          <w:rFonts w:cstheme="minorHAnsi"/>
        </w:rPr>
        <w:t xml:space="preserve"> </w:t>
      </w:r>
      <w:r w:rsidRPr="00106F9E">
        <w:rPr>
          <w:rFonts w:cstheme="minorHAnsi"/>
        </w:rPr>
        <w:t xml:space="preserve">Une offre financière détaillée </w:t>
      </w:r>
    </w:p>
    <w:p w:rsidR="00CA7465" w:rsidRPr="00106F9E" w:rsidRDefault="00B939CA" w:rsidP="009B0058">
      <w:pPr>
        <w:spacing w:line="276" w:lineRule="auto"/>
        <w:jc w:val="both"/>
        <w:rPr>
          <w:rFonts w:cstheme="minorHAnsi"/>
        </w:rPr>
      </w:pPr>
      <w:r>
        <w:rPr>
          <w:rFonts w:cstheme="minorHAnsi"/>
        </w:rPr>
        <w:t>OPALS et l’UNFPA</w:t>
      </w:r>
      <w:r w:rsidR="00CA7465" w:rsidRPr="00106F9E">
        <w:rPr>
          <w:rFonts w:cstheme="minorHAnsi"/>
        </w:rPr>
        <w:t xml:space="preserve"> à Rabat se réserve le droit de vérifier la véracité des déclarations du titulaire et lui demander de produire les justificatifs confirmant ses déclarations. </w:t>
      </w:r>
    </w:p>
    <w:p w:rsidR="00E67C09" w:rsidRPr="00106F9E" w:rsidRDefault="00E67C09" w:rsidP="009B0058">
      <w:pPr>
        <w:spacing w:line="276" w:lineRule="auto"/>
        <w:jc w:val="both"/>
        <w:rPr>
          <w:rFonts w:cstheme="minorHAnsi"/>
        </w:rPr>
      </w:pPr>
    </w:p>
    <w:p w:rsidR="00CA7465" w:rsidRPr="00106F9E" w:rsidRDefault="00CA7465" w:rsidP="009B0058">
      <w:pPr>
        <w:pStyle w:val="Titre1"/>
        <w:spacing w:line="276" w:lineRule="auto"/>
        <w:jc w:val="both"/>
        <w:rPr>
          <w:rFonts w:asciiTheme="minorHAnsi" w:hAnsiTheme="minorHAnsi" w:cstheme="minorHAnsi"/>
          <w:b/>
          <w:sz w:val="24"/>
          <w:szCs w:val="24"/>
        </w:rPr>
      </w:pPr>
      <w:r w:rsidRPr="00106F9E">
        <w:rPr>
          <w:rFonts w:asciiTheme="minorHAnsi" w:hAnsiTheme="minorHAnsi" w:cstheme="minorHAnsi"/>
          <w:b/>
          <w:sz w:val="24"/>
          <w:szCs w:val="24"/>
        </w:rPr>
        <w:t xml:space="preserve">EVALUATION DES OFFRES </w:t>
      </w:r>
    </w:p>
    <w:p w:rsidR="00106F9E" w:rsidRPr="00690026" w:rsidRDefault="00106F9E" w:rsidP="00106F9E">
      <w:pPr>
        <w:pStyle w:val="Default"/>
        <w:spacing w:line="276" w:lineRule="auto"/>
        <w:jc w:val="both"/>
        <w:rPr>
          <w:rFonts w:asciiTheme="minorHAnsi" w:hAnsiTheme="minorHAnsi" w:cstheme="minorHAnsi"/>
        </w:rPr>
      </w:pPr>
      <w:r w:rsidRPr="00690026">
        <w:rPr>
          <w:rFonts w:asciiTheme="minorHAnsi" w:hAnsiTheme="minorHAnsi" w:cstheme="minorHAnsi"/>
        </w:rPr>
        <w:t xml:space="preserve">L’évaluation des offres se déroulera en deux temps : L’évaluation de l’offre technique, puis l’ouverture et la comparaison des propositions financières. </w:t>
      </w:r>
    </w:p>
    <w:p w:rsidR="00106F9E" w:rsidRPr="00690026" w:rsidRDefault="00106F9E" w:rsidP="00106F9E">
      <w:pPr>
        <w:pStyle w:val="Default"/>
        <w:spacing w:line="276" w:lineRule="auto"/>
        <w:jc w:val="both"/>
        <w:rPr>
          <w:rFonts w:asciiTheme="minorHAnsi" w:hAnsiTheme="minorHAnsi" w:cstheme="minorHAnsi"/>
        </w:rPr>
      </w:pPr>
      <w:r w:rsidRPr="00690026">
        <w:rPr>
          <w:rFonts w:asciiTheme="minorHAnsi" w:hAnsiTheme="minorHAnsi" w:cstheme="minorHAnsi"/>
          <w:b/>
          <w:bCs/>
          <w:u w:val="single"/>
        </w:rPr>
        <w:t>Phase 1</w:t>
      </w:r>
      <w:r w:rsidRPr="00690026">
        <w:rPr>
          <w:rFonts w:asciiTheme="minorHAnsi" w:hAnsiTheme="minorHAnsi" w:cstheme="minorHAnsi"/>
        </w:rPr>
        <w:t xml:space="preserve">: Analyse technique comparative des offres </w:t>
      </w:r>
    </w:p>
    <w:p w:rsidR="00106F9E" w:rsidRPr="00690026" w:rsidRDefault="00106F9E" w:rsidP="00106F9E">
      <w:pPr>
        <w:pStyle w:val="Default"/>
        <w:spacing w:line="276" w:lineRule="auto"/>
        <w:jc w:val="both"/>
        <w:rPr>
          <w:rFonts w:asciiTheme="minorHAnsi" w:hAnsiTheme="minorHAnsi" w:cstheme="minorHAnsi"/>
        </w:rPr>
      </w:pPr>
      <w:r w:rsidRPr="00690026">
        <w:rPr>
          <w:rFonts w:asciiTheme="minorHAnsi" w:hAnsiTheme="minorHAnsi" w:cstheme="minorHAnsi"/>
        </w:rPr>
        <w:t>Pendant cette phase, il sera procédé à la comparaison technique des offres. Une note technique T sur 100 sera attribuée à chaque offre, sur la base du barème suivant :</w:t>
      </w:r>
    </w:p>
    <w:p w:rsidR="00106F9E" w:rsidRPr="00690026" w:rsidRDefault="00106F9E" w:rsidP="00106F9E">
      <w:pPr>
        <w:pStyle w:val="Default"/>
        <w:spacing w:line="276" w:lineRule="auto"/>
        <w:jc w:val="both"/>
        <w:rPr>
          <w:rFonts w:asciiTheme="minorHAnsi" w:hAnsiTheme="minorHAnsi" w:cstheme="minorHAnsi"/>
        </w:rPr>
      </w:pPr>
    </w:p>
    <w:tbl>
      <w:tblPr>
        <w:tblStyle w:val="Grilledutableau"/>
        <w:tblW w:w="0" w:type="auto"/>
        <w:jc w:val="center"/>
        <w:tblLayout w:type="fixed"/>
        <w:tblLook w:val="0000" w:firstRow="0" w:lastRow="0" w:firstColumn="0" w:lastColumn="0" w:noHBand="0" w:noVBand="0"/>
      </w:tblPr>
      <w:tblGrid>
        <w:gridCol w:w="7669"/>
        <w:gridCol w:w="548"/>
      </w:tblGrid>
      <w:tr w:rsidR="00106F9E" w:rsidRPr="00690026" w:rsidTr="00E26FAB">
        <w:trPr>
          <w:trHeight w:val="158"/>
          <w:jc w:val="center"/>
        </w:trPr>
        <w:tc>
          <w:tcPr>
            <w:tcW w:w="7669" w:type="dxa"/>
          </w:tcPr>
          <w:p w:rsidR="00106F9E" w:rsidRPr="00690026" w:rsidRDefault="00106F9E" w:rsidP="00E26FAB">
            <w:pPr>
              <w:pStyle w:val="Default"/>
              <w:spacing w:line="276" w:lineRule="auto"/>
              <w:jc w:val="both"/>
              <w:rPr>
                <w:rFonts w:asciiTheme="minorHAnsi" w:hAnsiTheme="minorHAnsi" w:cstheme="minorHAnsi"/>
              </w:rPr>
            </w:pPr>
            <w:r w:rsidRPr="00690026">
              <w:rPr>
                <w:rFonts w:asciiTheme="minorHAnsi" w:hAnsiTheme="minorHAnsi" w:cstheme="minorHAnsi"/>
                <w:b/>
                <w:bCs/>
              </w:rPr>
              <w:t>Qualification et compétences de/des consultant-s</w:t>
            </w:r>
          </w:p>
        </w:tc>
        <w:tc>
          <w:tcPr>
            <w:tcW w:w="548" w:type="dxa"/>
          </w:tcPr>
          <w:p w:rsidR="00106F9E" w:rsidRPr="00690026" w:rsidRDefault="00106F9E" w:rsidP="00E26FAB">
            <w:pPr>
              <w:pStyle w:val="Default"/>
              <w:spacing w:line="276" w:lineRule="auto"/>
              <w:jc w:val="both"/>
              <w:rPr>
                <w:rFonts w:asciiTheme="minorHAnsi" w:hAnsiTheme="minorHAnsi" w:cstheme="minorHAnsi"/>
                <w:b/>
                <w:bCs/>
              </w:rPr>
            </w:pPr>
            <w:r w:rsidRPr="00690026">
              <w:rPr>
                <w:rFonts w:asciiTheme="minorHAnsi" w:hAnsiTheme="minorHAnsi" w:cstheme="minorHAnsi"/>
                <w:b/>
                <w:bCs/>
              </w:rPr>
              <w:t>50</w:t>
            </w:r>
          </w:p>
        </w:tc>
      </w:tr>
      <w:tr w:rsidR="00106F9E" w:rsidRPr="00690026" w:rsidTr="00E26FAB">
        <w:trPr>
          <w:trHeight w:val="924"/>
          <w:jc w:val="center"/>
        </w:trPr>
        <w:tc>
          <w:tcPr>
            <w:tcW w:w="7669" w:type="dxa"/>
          </w:tcPr>
          <w:p w:rsidR="00106F9E" w:rsidRPr="00690026" w:rsidRDefault="00106F9E" w:rsidP="00106F9E">
            <w:pPr>
              <w:pStyle w:val="Default"/>
              <w:numPr>
                <w:ilvl w:val="0"/>
                <w:numId w:val="17"/>
              </w:numPr>
              <w:spacing w:line="276" w:lineRule="auto"/>
              <w:jc w:val="both"/>
              <w:rPr>
                <w:rFonts w:asciiTheme="minorHAnsi" w:hAnsiTheme="minorHAnsi" w:cstheme="minorHAnsi"/>
              </w:rPr>
            </w:pPr>
            <w:r w:rsidRPr="00690026">
              <w:rPr>
                <w:rFonts w:asciiTheme="minorHAnsi" w:hAnsiTheme="minorHAnsi" w:cstheme="minorHAnsi"/>
              </w:rPr>
              <w:t xml:space="preserve">Diplômes et expérience professionnelle </w:t>
            </w:r>
          </w:p>
          <w:p w:rsidR="00106F9E" w:rsidRPr="00690026" w:rsidRDefault="00106F9E" w:rsidP="00106F9E">
            <w:pPr>
              <w:pStyle w:val="Default"/>
              <w:numPr>
                <w:ilvl w:val="0"/>
                <w:numId w:val="17"/>
              </w:numPr>
              <w:spacing w:line="276" w:lineRule="auto"/>
              <w:jc w:val="both"/>
              <w:rPr>
                <w:rFonts w:asciiTheme="minorHAnsi" w:hAnsiTheme="minorHAnsi" w:cstheme="minorHAnsi"/>
              </w:rPr>
            </w:pPr>
            <w:r w:rsidRPr="00690026">
              <w:rPr>
                <w:rFonts w:asciiTheme="minorHAnsi" w:hAnsiTheme="minorHAnsi" w:cstheme="minorHAnsi"/>
              </w:rPr>
              <w:t xml:space="preserve">Une bonne connaissance en droit de l’Homme, notamment des principes de l’égalité et la non-discrimination et jeunesse </w:t>
            </w:r>
          </w:p>
          <w:p w:rsidR="00106F9E" w:rsidRPr="00690026" w:rsidRDefault="00106F9E" w:rsidP="00106F9E">
            <w:pPr>
              <w:pStyle w:val="Default"/>
              <w:numPr>
                <w:ilvl w:val="0"/>
                <w:numId w:val="17"/>
              </w:numPr>
              <w:spacing w:line="276" w:lineRule="auto"/>
              <w:jc w:val="both"/>
              <w:rPr>
                <w:rFonts w:asciiTheme="minorHAnsi" w:hAnsiTheme="minorHAnsi" w:cstheme="minorHAnsi"/>
              </w:rPr>
            </w:pPr>
            <w:r w:rsidRPr="00690026">
              <w:rPr>
                <w:rFonts w:asciiTheme="minorHAnsi" w:hAnsiTheme="minorHAnsi" w:cstheme="minorHAnsi"/>
              </w:rPr>
              <w:t xml:space="preserve">Une parfaite connaissance du référentiel national et international en droit humains et maitrise du contexte socioculturel marocain </w:t>
            </w:r>
          </w:p>
          <w:p w:rsidR="00106F9E" w:rsidRPr="00690026" w:rsidRDefault="00106F9E" w:rsidP="00106F9E">
            <w:pPr>
              <w:pStyle w:val="Default"/>
              <w:numPr>
                <w:ilvl w:val="0"/>
                <w:numId w:val="17"/>
              </w:numPr>
              <w:spacing w:line="276" w:lineRule="auto"/>
              <w:jc w:val="both"/>
              <w:rPr>
                <w:rFonts w:asciiTheme="minorHAnsi" w:hAnsiTheme="minorHAnsi" w:cstheme="minorHAnsi"/>
              </w:rPr>
            </w:pPr>
            <w:r w:rsidRPr="00690026">
              <w:rPr>
                <w:rFonts w:asciiTheme="minorHAnsi" w:hAnsiTheme="minorHAnsi" w:cstheme="minorHAnsi"/>
              </w:rPr>
              <w:t xml:space="preserve">Une connaissance des questions liées à la problématique des discriminations à l’égard de femmes et des jeunes filles </w:t>
            </w:r>
          </w:p>
          <w:p w:rsidR="00106F9E" w:rsidRDefault="00106F9E" w:rsidP="00E26FAB">
            <w:pPr>
              <w:pStyle w:val="Default"/>
              <w:numPr>
                <w:ilvl w:val="0"/>
                <w:numId w:val="17"/>
              </w:numPr>
              <w:spacing w:line="276" w:lineRule="auto"/>
              <w:jc w:val="both"/>
              <w:rPr>
                <w:rFonts w:asciiTheme="minorHAnsi" w:hAnsiTheme="minorHAnsi" w:cstheme="minorHAnsi"/>
              </w:rPr>
            </w:pPr>
            <w:r w:rsidRPr="00690026">
              <w:rPr>
                <w:rFonts w:asciiTheme="minorHAnsi" w:hAnsiTheme="minorHAnsi" w:cstheme="minorHAnsi"/>
              </w:rPr>
              <w:t xml:space="preserve">Très bonne capacité rédactionnelle en français </w:t>
            </w:r>
          </w:p>
          <w:p w:rsidR="00106F9E" w:rsidRPr="00106F9E" w:rsidRDefault="00106F9E" w:rsidP="00106F9E">
            <w:pPr>
              <w:pStyle w:val="Default"/>
              <w:spacing w:line="276" w:lineRule="auto"/>
              <w:ind w:left="360"/>
              <w:jc w:val="both"/>
              <w:rPr>
                <w:rFonts w:asciiTheme="minorHAnsi" w:hAnsiTheme="minorHAnsi" w:cstheme="minorHAnsi"/>
              </w:rPr>
            </w:pPr>
          </w:p>
        </w:tc>
        <w:tc>
          <w:tcPr>
            <w:tcW w:w="548" w:type="dxa"/>
          </w:tcPr>
          <w:p w:rsidR="00106F9E" w:rsidRPr="00690026" w:rsidRDefault="00106F9E" w:rsidP="00E26FAB">
            <w:pPr>
              <w:pStyle w:val="Default"/>
              <w:spacing w:line="276" w:lineRule="auto"/>
              <w:jc w:val="both"/>
              <w:rPr>
                <w:rFonts w:asciiTheme="minorHAnsi" w:hAnsiTheme="minorHAnsi" w:cstheme="minorHAnsi"/>
                <w:color w:val="auto"/>
              </w:rPr>
            </w:pPr>
          </w:p>
        </w:tc>
      </w:tr>
      <w:tr w:rsidR="00106F9E" w:rsidRPr="00690026" w:rsidTr="00E26FAB">
        <w:trPr>
          <w:trHeight w:val="88"/>
          <w:jc w:val="center"/>
        </w:trPr>
        <w:tc>
          <w:tcPr>
            <w:tcW w:w="7669" w:type="dxa"/>
          </w:tcPr>
          <w:p w:rsidR="00106F9E" w:rsidRPr="00690026" w:rsidRDefault="00106F9E" w:rsidP="00E26FAB">
            <w:pPr>
              <w:pStyle w:val="Default"/>
              <w:spacing w:line="276" w:lineRule="auto"/>
              <w:jc w:val="both"/>
              <w:rPr>
                <w:rFonts w:asciiTheme="minorHAnsi" w:hAnsiTheme="minorHAnsi" w:cstheme="minorHAnsi"/>
              </w:rPr>
            </w:pPr>
            <w:r w:rsidRPr="00690026">
              <w:rPr>
                <w:rFonts w:asciiTheme="minorHAnsi" w:hAnsiTheme="minorHAnsi" w:cstheme="minorHAnsi"/>
                <w:b/>
                <w:bCs/>
              </w:rPr>
              <w:lastRenderedPageBreak/>
              <w:t xml:space="preserve">Méthodologie et plan de travail </w:t>
            </w:r>
          </w:p>
        </w:tc>
        <w:tc>
          <w:tcPr>
            <w:tcW w:w="548" w:type="dxa"/>
          </w:tcPr>
          <w:p w:rsidR="00106F9E" w:rsidRPr="00690026" w:rsidRDefault="00106F9E" w:rsidP="00E26FAB">
            <w:pPr>
              <w:pStyle w:val="Default"/>
              <w:spacing w:line="276" w:lineRule="auto"/>
              <w:jc w:val="both"/>
              <w:rPr>
                <w:rFonts w:asciiTheme="minorHAnsi" w:hAnsiTheme="minorHAnsi" w:cstheme="minorHAnsi"/>
                <w:b/>
                <w:bCs/>
              </w:rPr>
            </w:pPr>
            <w:r w:rsidRPr="00690026">
              <w:rPr>
                <w:rFonts w:asciiTheme="minorHAnsi" w:hAnsiTheme="minorHAnsi" w:cstheme="minorHAnsi"/>
                <w:b/>
                <w:bCs/>
              </w:rPr>
              <w:t>50</w:t>
            </w:r>
          </w:p>
        </w:tc>
      </w:tr>
      <w:tr w:rsidR="00106F9E" w:rsidRPr="00690026" w:rsidTr="00E26FAB">
        <w:trPr>
          <w:trHeight w:val="567"/>
          <w:jc w:val="center"/>
        </w:trPr>
        <w:tc>
          <w:tcPr>
            <w:tcW w:w="7669" w:type="dxa"/>
          </w:tcPr>
          <w:p w:rsidR="00106F9E" w:rsidRPr="00690026" w:rsidRDefault="00106F9E" w:rsidP="00E26FAB">
            <w:pPr>
              <w:pStyle w:val="Default"/>
              <w:spacing w:line="276" w:lineRule="auto"/>
              <w:jc w:val="both"/>
              <w:rPr>
                <w:rFonts w:asciiTheme="minorHAnsi" w:hAnsiTheme="minorHAnsi" w:cstheme="minorHAnsi"/>
                <w:color w:val="auto"/>
              </w:rPr>
            </w:pPr>
          </w:p>
          <w:p w:rsidR="00106F9E" w:rsidRPr="00690026" w:rsidRDefault="00106F9E" w:rsidP="00106F9E">
            <w:pPr>
              <w:pStyle w:val="Default"/>
              <w:numPr>
                <w:ilvl w:val="0"/>
                <w:numId w:val="17"/>
              </w:numPr>
              <w:spacing w:line="276" w:lineRule="auto"/>
              <w:jc w:val="both"/>
              <w:rPr>
                <w:rFonts w:asciiTheme="minorHAnsi" w:hAnsiTheme="minorHAnsi" w:cstheme="minorHAnsi"/>
              </w:rPr>
            </w:pPr>
            <w:r w:rsidRPr="00690026">
              <w:rPr>
                <w:rFonts w:asciiTheme="minorHAnsi" w:hAnsiTheme="minorHAnsi" w:cstheme="minorHAnsi"/>
              </w:rPr>
              <w:t xml:space="preserve">Qualité de la note méthodologique décrivant l’approche et les outils préconisés pour la bonne réalisation de toutes les étapes de la mission </w:t>
            </w:r>
          </w:p>
          <w:p w:rsidR="00106F9E" w:rsidRPr="00690026" w:rsidRDefault="00106F9E" w:rsidP="00106F9E">
            <w:pPr>
              <w:pStyle w:val="Default"/>
              <w:numPr>
                <w:ilvl w:val="0"/>
                <w:numId w:val="17"/>
              </w:numPr>
              <w:spacing w:line="276" w:lineRule="auto"/>
              <w:jc w:val="both"/>
              <w:rPr>
                <w:rFonts w:asciiTheme="minorHAnsi" w:hAnsiTheme="minorHAnsi" w:cstheme="minorHAnsi"/>
              </w:rPr>
            </w:pPr>
            <w:r w:rsidRPr="00690026">
              <w:rPr>
                <w:rFonts w:asciiTheme="minorHAnsi" w:hAnsiTheme="minorHAnsi" w:cstheme="minorHAnsi"/>
              </w:rPr>
              <w:t xml:space="preserve">Réalisme du calendrier d’exécution et respect des délais </w:t>
            </w:r>
          </w:p>
          <w:p w:rsidR="00106F9E" w:rsidRPr="00690026" w:rsidRDefault="00106F9E" w:rsidP="00106F9E">
            <w:pPr>
              <w:pStyle w:val="Default"/>
              <w:numPr>
                <w:ilvl w:val="0"/>
                <w:numId w:val="17"/>
              </w:numPr>
              <w:spacing w:line="276" w:lineRule="auto"/>
              <w:jc w:val="both"/>
              <w:rPr>
                <w:rFonts w:asciiTheme="minorHAnsi" w:hAnsiTheme="minorHAnsi" w:cstheme="minorHAnsi"/>
              </w:rPr>
            </w:pPr>
            <w:r w:rsidRPr="00690026">
              <w:rPr>
                <w:rFonts w:asciiTheme="minorHAnsi" w:hAnsiTheme="minorHAnsi" w:cstheme="minorHAnsi"/>
              </w:rPr>
              <w:t xml:space="preserve">Valeur ajoutée de l’approche méthodologique par rapport aux spécifications des TDR </w:t>
            </w:r>
          </w:p>
          <w:p w:rsidR="00106F9E" w:rsidRPr="00690026" w:rsidRDefault="00106F9E" w:rsidP="00E26FAB">
            <w:pPr>
              <w:pStyle w:val="Default"/>
              <w:spacing w:line="276" w:lineRule="auto"/>
              <w:jc w:val="both"/>
              <w:rPr>
                <w:rFonts w:asciiTheme="minorHAnsi" w:hAnsiTheme="minorHAnsi" w:cstheme="minorHAnsi"/>
              </w:rPr>
            </w:pPr>
          </w:p>
        </w:tc>
        <w:tc>
          <w:tcPr>
            <w:tcW w:w="548" w:type="dxa"/>
          </w:tcPr>
          <w:p w:rsidR="00106F9E" w:rsidRPr="00690026" w:rsidRDefault="00106F9E" w:rsidP="00E26FAB">
            <w:pPr>
              <w:pStyle w:val="Default"/>
              <w:spacing w:line="276" w:lineRule="auto"/>
              <w:jc w:val="both"/>
              <w:rPr>
                <w:rFonts w:asciiTheme="minorHAnsi" w:hAnsiTheme="minorHAnsi" w:cstheme="minorHAnsi"/>
                <w:color w:val="auto"/>
              </w:rPr>
            </w:pPr>
          </w:p>
        </w:tc>
      </w:tr>
      <w:tr w:rsidR="00106F9E" w:rsidRPr="00690026" w:rsidTr="00E26FAB">
        <w:trPr>
          <w:trHeight w:val="90"/>
          <w:jc w:val="center"/>
        </w:trPr>
        <w:tc>
          <w:tcPr>
            <w:tcW w:w="7669" w:type="dxa"/>
          </w:tcPr>
          <w:p w:rsidR="00106F9E" w:rsidRPr="00690026" w:rsidRDefault="00106F9E" w:rsidP="00E26FAB">
            <w:pPr>
              <w:pStyle w:val="Default"/>
              <w:spacing w:line="276" w:lineRule="auto"/>
              <w:jc w:val="both"/>
              <w:rPr>
                <w:rFonts w:asciiTheme="minorHAnsi" w:hAnsiTheme="minorHAnsi" w:cstheme="minorHAnsi"/>
              </w:rPr>
            </w:pPr>
            <w:r w:rsidRPr="00690026">
              <w:rPr>
                <w:rFonts w:asciiTheme="minorHAnsi" w:hAnsiTheme="minorHAnsi" w:cstheme="minorHAnsi"/>
              </w:rPr>
              <w:t xml:space="preserve">Note T (Total) </w:t>
            </w:r>
          </w:p>
        </w:tc>
        <w:tc>
          <w:tcPr>
            <w:tcW w:w="548" w:type="dxa"/>
          </w:tcPr>
          <w:p w:rsidR="00106F9E" w:rsidRPr="00690026" w:rsidRDefault="00106F9E" w:rsidP="00E26FAB">
            <w:pPr>
              <w:pStyle w:val="Default"/>
              <w:spacing w:line="276" w:lineRule="auto"/>
              <w:jc w:val="both"/>
              <w:rPr>
                <w:rFonts w:asciiTheme="minorHAnsi" w:hAnsiTheme="minorHAnsi" w:cstheme="minorHAnsi"/>
                <w:b/>
                <w:bCs/>
              </w:rPr>
            </w:pPr>
            <w:r w:rsidRPr="00690026">
              <w:rPr>
                <w:rFonts w:asciiTheme="minorHAnsi" w:hAnsiTheme="minorHAnsi" w:cstheme="minorHAnsi"/>
                <w:b/>
                <w:bCs/>
              </w:rPr>
              <w:t>100</w:t>
            </w:r>
          </w:p>
        </w:tc>
      </w:tr>
    </w:tbl>
    <w:p w:rsidR="00106F9E" w:rsidRPr="00690026" w:rsidRDefault="00106F9E" w:rsidP="00106F9E">
      <w:pPr>
        <w:autoSpaceDE w:val="0"/>
        <w:autoSpaceDN w:val="0"/>
        <w:adjustRightInd w:val="0"/>
        <w:spacing w:line="276" w:lineRule="auto"/>
        <w:jc w:val="both"/>
        <w:rPr>
          <w:rFonts w:cstheme="minorHAnsi"/>
          <w:b/>
          <w:bCs/>
          <w:color w:val="000000"/>
        </w:rPr>
      </w:pPr>
    </w:p>
    <w:p w:rsidR="00106F9E" w:rsidRPr="00690026" w:rsidRDefault="00106F9E" w:rsidP="00106F9E">
      <w:pPr>
        <w:autoSpaceDE w:val="0"/>
        <w:autoSpaceDN w:val="0"/>
        <w:adjustRightInd w:val="0"/>
        <w:spacing w:line="276" w:lineRule="auto"/>
        <w:jc w:val="both"/>
        <w:rPr>
          <w:rFonts w:cstheme="minorHAnsi"/>
          <w:color w:val="000000"/>
        </w:rPr>
      </w:pPr>
      <w:r w:rsidRPr="00690026">
        <w:rPr>
          <w:rFonts w:cstheme="minorHAnsi"/>
          <w:b/>
          <w:bCs/>
          <w:color w:val="000000"/>
        </w:rPr>
        <w:t xml:space="preserve">Important </w:t>
      </w:r>
      <w:r w:rsidRPr="00690026">
        <w:rPr>
          <w:rFonts w:cstheme="minorHAnsi"/>
          <w:color w:val="000000"/>
        </w:rPr>
        <w:t xml:space="preserve">: Seront systématiquement éliminées à l’issue de cette phase toutes les offres ayant obtenu une note technique inférieure à la note minimale de 50 points, qui représente 70% des de la note maximale des offres techniques (100 points) </w:t>
      </w:r>
    </w:p>
    <w:p w:rsidR="00106F9E" w:rsidRPr="00690026" w:rsidRDefault="00106F9E" w:rsidP="00106F9E">
      <w:pPr>
        <w:autoSpaceDE w:val="0"/>
        <w:autoSpaceDN w:val="0"/>
        <w:adjustRightInd w:val="0"/>
        <w:spacing w:line="276" w:lineRule="auto"/>
        <w:jc w:val="both"/>
        <w:rPr>
          <w:rFonts w:cstheme="minorHAnsi"/>
          <w:b/>
          <w:bCs/>
          <w:color w:val="000000"/>
        </w:rPr>
      </w:pPr>
    </w:p>
    <w:p w:rsidR="00106F9E" w:rsidRPr="00690026" w:rsidRDefault="00106F9E" w:rsidP="00106F9E">
      <w:pPr>
        <w:autoSpaceDE w:val="0"/>
        <w:autoSpaceDN w:val="0"/>
        <w:adjustRightInd w:val="0"/>
        <w:spacing w:line="276" w:lineRule="auto"/>
        <w:jc w:val="both"/>
        <w:rPr>
          <w:rFonts w:cstheme="minorHAnsi"/>
          <w:color w:val="000000"/>
        </w:rPr>
      </w:pPr>
      <w:r w:rsidRPr="00690026">
        <w:rPr>
          <w:rFonts w:cstheme="minorHAnsi"/>
          <w:b/>
          <w:bCs/>
          <w:color w:val="000000"/>
          <w:u w:val="single"/>
        </w:rPr>
        <w:t>Phase 2</w:t>
      </w:r>
      <w:r w:rsidRPr="00690026">
        <w:rPr>
          <w:rFonts w:cstheme="minorHAnsi"/>
          <w:color w:val="000000"/>
        </w:rPr>
        <w:t xml:space="preserve">: Analyse financière comparative des offres </w:t>
      </w:r>
    </w:p>
    <w:p w:rsidR="00106F9E" w:rsidRPr="00690026" w:rsidRDefault="00106F9E" w:rsidP="00106F9E">
      <w:pPr>
        <w:autoSpaceDE w:val="0"/>
        <w:autoSpaceDN w:val="0"/>
        <w:adjustRightInd w:val="0"/>
        <w:spacing w:line="276" w:lineRule="auto"/>
        <w:jc w:val="both"/>
        <w:rPr>
          <w:rFonts w:cstheme="minorHAnsi"/>
          <w:color w:val="000000"/>
        </w:rPr>
      </w:pPr>
      <w:r w:rsidRPr="00690026">
        <w:rPr>
          <w:rFonts w:cstheme="minorHAnsi"/>
          <w:color w:val="000000"/>
        </w:rPr>
        <w:t xml:space="preserve">A l’issue de cette phase, chaque offre financière sera dotée d’une note (F) sur 100 : </w:t>
      </w:r>
    </w:p>
    <w:p w:rsidR="00106F9E" w:rsidRPr="00690026" w:rsidRDefault="00106F9E" w:rsidP="00106F9E">
      <w:pPr>
        <w:autoSpaceDE w:val="0"/>
        <w:autoSpaceDN w:val="0"/>
        <w:adjustRightInd w:val="0"/>
        <w:spacing w:line="276" w:lineRule="auto"/>
        <w:jc w:val="both"/>
        <w:rPr>
          <w:rFonts w:cstheme="minorHAnsi"/>
          <w:color w:val="000000"/>
        </w:rPr>
      </w:pPr>
    </w:p>
    <w:tbl>
      <w:tblPr>
        <w:tblStyle w:val="Grilledetableauclaire1"/>
        <w:tblW w:w="0" w:type="auto"/>
        <w:tblLayout w:type="fixed"/>
        <w:tblLook w:val="0000" w:firstRow="0" w:lastRow="0" w:firstColumn="0" w:lastColumn="0" w:noHBand="0" w:noVBand="0"/>
      </w:tblPr>
      <w:tblGrid>
        <w:gridCol w:w="4420"/>
        <w:gridCol w:w="4420"/>
      </w:tblGrid>
      <w:tr w:rsidR="00106F9E" w:rsidRPr="00690026" w:rsidTr="00E26FAB">
        <w:trPr>
          <w:trHeight w:val="344"/>
        </w:trPr>
        <w:tc>
          <w:tcPr>
            <w:tcW w:w="4420" w:type="dxa"/>
          </w:tcPr>
          <w:p w:rsidR="00106F9E" w:rsidRPr="00690026" w:rsidRDefault="00106F9E" w:rsidP="00E26FAB">
            <w:pPr>
              <w:autoSpaceDE w:val="0"/>
              <w:autoSpaceDN w:val="0"/>
              <w:adjustRightInd w:val="0"/>
              <w:spacing w:line="276" w:lineRule="auto"/>
              <w:jc w:val="both"/>
              <w:rPr>
                <w:rFonts w:cstheme="minorHAnsi"/>
                <w:color w:val="000000"/>
                <w:sz w:val="24"/>
                <w:szCs w:val="24"/>
              </w:rPr>
            </w:pPr>
            <w:r w:rsidRPr="00690026">
              <w:rPr>
                <w:rFonts w:cstheme="minorHAnsi"/>
                <w:color w:val="000000"/>
                <w:sz w:val="24"/>
                <w:szCs w:val="24"/>
              </w:rPr>
              <w:t>La note 100 sera attribuée à l’offre valable techniquement et la moins-disante. Pour les autres offres, la note sera calculée au moyen de la formule suivante : Pmin</w:t>
            </w:r>
          </w:p>
          <w:p w:rsidR="00106F9E" w:rsidRPr="00690026" w:rsidRDefault="00106F9E" w:rsidP="00106F9E">
            <w:pPr>
              <w:autoSpaceDE w:val="0"/>
              <w:autoSpaceDN w:val="0"/>
              <w:adjustRightInd w:val="0"/>
              <w:spacing w:line="276" w:lineRule="auto"/>
              <w:jc w:val="both"/>
              <w:rPr>
                <w:rFonts w:cstheme="minorHAnsi"/>
                <w:color w:val="000000"/>
                <w:sz w:val="24"/>
                <w:szCs w:val="24"/>
              </w:rPr>
            </w:pPr>
            <w:r>
              <w:rPr>
                <w:rFonts w:cstheme="minorHAnsi"/>
                <w:color w:val="000000"/>
                <w:sz w:val="24"/>
                <w:szCs w:val="24"/>
              </w:rPr>
              <w:t xml:space="preserve">F= 100 * -------------------- </w:t>
            </w:r>
            <w:r w:rsidRPr="00690026">
              <w:rPr>
                <w:rFonts w:cstheme="minorHAnsi"/>
                <w:color w:val="000000"/>
                <w:sz w:val="24"/>
                <w:szCs w:val="24"/>
              </w:rPr>
              <w:t xml:space="preserve">P </w:t>
            </w:r>
          </w:p>
        </w:tc>
        <w:tc>
          <w:tcPr>
            <w:tcW w:w="4420" w:type="dxa"/>
          </w:tcPr>
          <w:p w:rsidR="00106F9E" w:rsidRPr="00690026" w:rsidRDefault="00106F9E" w:rsidP="00E26FAB">
            <w:pPr>
              <w:autoSpaceDE w:val="0"/>
              <w:autoSpaceDN w:val="0"/>
              <w:adjustRightInd w:val="0"/>
              <w:spacing w:line="276" w:lineRule="auto"/>
              <w:jc w:val="both"/>
              <w:rPr>
                <w:rFonts w:cstheme="minorHAnsi"/>
                <w:color w:val="000000"/>
                <w:sz w:val="24"/>
                <w:szCs w:val="24"/>
              </w:rPr>
            </w:pPr>
            <w:r w:rsidRPr="00690026">
              <w:rPr>
                <w:rFonts w:cstheme="minorHAnsi"/>
                <w:color w:val="000000"/>
                <w:sz w:val="24"/>
                <w:szCs w:val="24"/>
              </w:rPr>
              <w:t xml:space="preserve">P : Prix de l’offre </w:t>
            </w:r>
          </w:p>
          <w:p w:rsidR="00106F9E" w:rsidRPr="00690026" w:rsidRDefault="00106F9E" w:rsidP="00E26FAB">
            <w:pPr>
              <w:autoSpaceDE w:val="0"/>
              <w:autoSpaceDN w:val="0"/>
              <w:adjustRightInd w:val="0"/>
              <w:spacing w:line="276" w:lineRule="auto"/>
              <w:jc w:val="both"/>
              <w:rPr>
                <w:rFonts w:cstheme="minorHAnsi"/>
                <w:color w:val="000000"/>
                <w:sz w:val="24"/>
                <w:szCs w:val="24"/>
              </w:rPr>
            </w:pPr>
            <w:r w:rsidRPr="00690026">
              <w:rPr>
                <w:rFonts w:cstheme="minorHAnsi"/>
                <w:color w:val="000000"/>
                <w:sz w:val="24"/>
                <w:szCs w:val="24"/>
              </w:rPr>
              <w:t xml:space="preserve">Pmin : Prix de l’offre valable techniquement et le moins disant. </w:t>
            </w:r>
          </w:p>
        </w:tc>
      </w:tr>
    </w:tbl>
    <w:p w:rsidR="00106F9E" w:rsidRPr="00690026" w:rsidRDefault="00106F9E" w:rsidP="00106F9E">
      <w:pPr>
        <w:spacing w:line="276" w:lineRule="auto"/>
        <w:jc w:val="both"/>
        <w:rPr>
          <w:rFonts w:cstheme="minorHAnsi"/>
          <w:color w:val="15383D"/>
          <w:shd w:val="clear" w:color="auto" w:fill="F8F8F7"/>
        </w:rPr>
      </w:pPr>
    </w:p>
    <w:p w:rsidR="00106F9E" w:rsidRPr="00690026" w:rsidRDefault="00106F9E" w:rsidP="00106F9E">
      <w:pPr>
        <w:autoSpaceDE w:val="0"/>
        <w:autoSpaceDN w:val="0"/>
        <w:adjustRightInd w:val="0"/>
        <w:spacing w:line="276" w:lineRule="auto"/>
        <w:jc w:val="both"/>
        <w:rPr>
          <w:rFonts w:cstheme="minorHAnsi"/>
          <w:color w:val="000000"/>
        </w:rPr>
      </w:pPr>
      <w:r w:rsidRPr="00690026">
        <w:rPr>
          <w:rFonts w:cstheme="minorHAnsi"/>
          <w:b/>
          <w:bCs/>
          <w:color w:val="000000"/>
          <w:u w:val="single"/>
        </w:rPr>
        <w:t>Phase 3 :</w:t>
      </w:r>
      <w:r w:rsidRPr="00690026">
        <w:rPr>
          <w:rFonts w:cstheme="minorHAnsi"/>
          <w:color w:val="000000"/>
        </w:rPr>
        <w:t>Analyse technico-financière</w:t>
      </w:r>
    </w:p>
    <w:p w:rsidR="00106F9E" w:rsidRPr="00690026" w:rsidRDefault="00106F9E" w:rsidP="00106F9E">
      <w:pPr>
        <w:autoSpaceDE w:val="0"/>
        <w:autoSpaceDN w:val="0"/>
        <w:adjustRightInd w:val="0"/>
        <w:spacing w:line="276" w:lineRule="auto"/>
        <w:jc w:val="both"/>
        <w:rPr>
          <w:rFonts w:cstheme="minorHAnsi"/>
          <w:color w:val="000000"/>
        </w:rPr>
      </w:pPr>
    </w:p>
    <w:tbl>
      <w:tblPr>
        <w:tblStyle w:val="Grilledetableauclaire1"/>
        <w:tblW w:w="0" w:type="auto"/>
        <w:jc w:val="center"/>
        <w:tblLayout w:type="fixed"/>
        <w:tblLook w:val="0000" w:firstRow="0" w:lastRow="0" w:firstColumn="0" w:lastColumn="0" w:noHBand="0" w:noVBand="0"/>
      </w:tblPr>
      <w:tblGrid>
        <w:gridCol w:w="5578"/>
        <w:gridCol w:w="3010"/>
      </w:tblGrid>
      <w:tr w:rsidR="00106F9E" w:rsidRPr="00690026" w:rsidTr="00E26FAB">
        <w:trPr>
          <w:trHeight w:val="200"/>
          <w:jc w:val="center"/>
        </w:trPr>
        <w:tc>
          <w:tcPr>
            <w:tcW w:w="5578" w:type="dxa"/>
          </w:tcPr>
          <w:p w:rsidR="00106F9E" w:rsidRPr="00690026" w:rsidRDefault="00106F9E" w:rsidP="00E26FAB">
            <w:pPr>
              <w:autoSpaceDE w:val="0"/>
              <w:autoSpaceDN w:val="0"/>
              <w:adjustRightInd w:val="0"/>
              <w:spacing w:line="276" w:lineRule="auto"/>
              <w:jc w:val="both"/>
              <w:rPr>
                <w:rFonts w:cstheme="minorHAnsi"/>
                <w:color w:val="000000"/>
                <w:sz w:val="24"/>
                <w:szCs w:val="24"/>
              </w:rPr>
            </w:pPr>
            <w:r w:rsidRPr="00690026">
              <w:rPr>
                <w:rFonts w:cstheme="minorHAnsi"/>
                <w:color w:val="000000"/>
                <w:sz w:val="24"/>
                <w:szCs w:val="24"/>
              </w:rPr>
              <w:t xml:space="preserve">Les notes techniques (T) et financières (F) obtenues pour chaque offre seront pondérées respectivement par les coefficients suivants : </w:t>
            </w:r>
          </w:p>
          <w:p w:rsidR="00106F9E" w:rsidRPr="00690026" w:rsidRDefault="00106F9E" w:rsidP="00E26FAB">
            <w:pPr>
              <w:autoSpaceDE w:val="0"/>
              <w:autoSpaceDN w:val="0"/>
              <w:adjustRightInd w:val="0"/>
              <w:spacing w:line="276" w:lineRule="auto"/>
              <w:jc w:val="both"/>
              <w:rPr>
                <w:rFonts w:cstheme="minorHAnsi"/>
                <w:color w:val="000000"/>
                <w:sz w:val="24"/>
                <w:szCs w:val="24"/>
              </w:rPr>
            </w:pPr>
            <w:r w:rsidRPr="00690026">
              <w:rPr>
                <w:rFonts w:cstheme="minorHAnsi"/>
                <w:color w:val="000000"/>
                <w:sz w:val="24"/>
                <w:szCs w:val="24"/>
              </w:rPr>
              <w:t xml:space="preserve">70% pour l’offre technique </w:t>
            </w:r>
          </w:p>
          <w:p w:rsidR="00106F9E" w:rsidRPr="00690026" w:rsidRDefault="00106F9E" w:rsidP="00E26FAB">
            <w:pPr>
              <w:autoSpaceDE w:val="0"/>
              <w:autoSpaceDN w:val="0"/>
              <w:adjustRightInd w:val="0"/>
              <w:spacing w:line="276" w:lineRule="auto"/>
              <w:jc w:val="both"/>
              <w:rPr>
                <w:rFonts w:cstheme="minorHAnsi"/>
                <w:color w:val="000000"/>
                <w:sz w:val="24"/>
                <w:szCs w:val="24"/>
              </w:rPr>
            </w:pPr>
            <w:r w:rsidRPr="00690026">
              <w:rPr>
                <w:rFonts w:cstheme="minorHAnsi"/>
                <w:color w:val="000000"/>
                <w:sz w:val="24"/>
                <w:szCs w:val="24"/>
              </w:rPr>
              <w:t xml:space="preserve">30% pour l’offre financière </w:t>
            </w:r>
          </w:p>
        </w:tc>
        <w:tc>
          <w:tcPr>
            <w:tcW w:w="3010" w:type="dxa"/>
          </w:tcPr>
          <w:p w:rsidR="00106F9E" w:rsidRPr="00690026" w:rsidRDefault="00106F9E" w:rsidP="00E26FAB">
            <w:pPr>
              <w:autoSpaceDE w:val="0"/>
              <w:autoSpaceDN w:val="0"/>
              <w:adjustRightInd w:val="0"/>
              <w:spacing w:line="276" w:lineRule="auto"/>
              <w:jc w:val="both"/>
              <w:rPr>
                <w:rFonts w:cstheme="minorHAnsi"/>
                <w:color w:val="000000"/>
                <w:sz w:val="24"/>
                <w:szCs w:val="24"/>
              </w:rPr>
            </w:pPr>
            <w:r w:rsidRPr="00690026">
              <w:rPr>
                <w:rFonts w:cstheme="minorHAnsi"/>
                <w:color w:val="000000"/>
                <w:sz w:val="24"/>
                <w:szCs w:val="24"/>
              </w:rPr>
              <w:t xml:space="preserve">N= 0,7 * T + 0,3* F </w:t>
            </w:r>
          </w:p>
        </w:tc>
      </w:tr>
    </w:tbl>
    <w:p w:rsidR="00106F9E" w:rsidRPr="00690026" w:rsidRDefault="00106F9E" w:rsidP="00106F9E">
      <w:pPr>
        <w:spacing w:line="276" w:lineRule="auto"/>
        <w:jc w:val="both"/>
        <w:rPr>
          <w:rFonts w:cstheme="minorHAnsi"/>
          <w:color w:val="15383D"/>
          <w:shd w:val="clear" w:color="auto" w:fill="F8F8F7"/>
        </w:rPr>
      </w:pPr>
    </w:p>
    <w:p w:rsidR="00106F9E" w:rsidRPr="00690026" w:rsidRDefault="00106F9E" w:rsidP="00106F9E">
      <w:pPr>
        <w:autoSpaceDE w:val="0"/>
        <w:autoSpaceDN w:val="0"/>
        <w:adjustRightInd w:val="0"/>
        <w:spacing w:line="276" w:lineRule="auto"/>
        <w:jc w:val="both"/>
        <w:rPr>
          <w:rFonts w:cstheme="minorHAnsi"/>
          <w:color w:val="000000"/>
        </w:rPr>
      </w:pPr>
      <w:r w:rsidRPr="00690026">
        <w:rPr>
          <w:rFonts w:cstheme="minorHAnsi"/>
          <w:color w:val="000000"/>
        </w:rPr>
        <w:t>Le Contrat sera adjugé à l’offre ayant obtenu la note « N » la plus élevée.</w:t>
      </w:r>
    </w:p>
    <w:p w:rsidR="00106F9E" w:rsidRDefault="00106F9E">
      <w:pPr>
        <w:rPr>
          <w:rFonts w:eastAsiaTheme="majorEastAsia" w:cstheme="minorHAnsi"/>
          <w:b/>
          <w:color w:val="2E74B5" w:themeColor="accent1" w:themeShade="BF"/>
        </w:rPr>
      </w:pPr>
      <w:r>
        <w:rPr>
          <w:rFonts w:cstheme="minorHAnsi"/>
          <w:b/>
        </w:rPr>
        <w:br w:type="page"/>
      </w:r>
    </w:p>
    <w:p w:rsidR="00507D27" w:rsidRPr="00106F9E" w:rsidRDefault="00CA7465" w:rsidP="009B0058">
      <w:pPr>
        <w:pStyle w:val="Titre1"/>
        <w:spacing w:line="276" w:lineRule="auto"/>
        <w:jc w:val="both"/>
        <w:rPr>
          <w:rFonts w:asciiTheme="minorHAnsi" w:hAnsiTheme="minorHAnsi" w:cstheme="minorHAnsi"/>
          <w:b/>
          <w:sz w:val="24"/>
          <w:szCs w:val="24"/>
        </w:rPr>
      </w:pPr>
      <w:r w:rsidRPr="00106F9E">
        <w:rPr>
          <w:rFonts w:asciiTheme="minorHAnsi" w:hAnsiTheme="minorHAnsi" w:cstheme="minorHAnsi"/>
          <w:b/>
          <w:sz w:val="24"/>
          <w:szCs w:val="24"/>
        </w:rPr>
        <w:lastRenderedPageBreak/>
        <w:t xml:space="preserve">DEPOT DU DOSSIER DE CANDIDATURE </w:t>
      </w:r>
    </w:p>
    <w:p w:rsidR="00D342DC" w:rsidRPr="00D342DC" w:rsidRDefault="00507D27" w:rsidP="00B939CA">
      <w:pPr>
        <w:spacing w:line="276" w:lineRule="auto"/>
        <w:jc w:val="both"/>
        <w:rPr>
          <w:rFonts w:cstheme="minorHAnsi"/>
          <w:color w:val="222222"/>
          <w:shd w:val="clear" w:color="auto" w:fill="FFFFFF"/>
        </w:rPr>
      </w:pPr>
      <w:r w:rsidRPr="00106F9E">
        <w:rPr>
          <w:rFonts w:cstheme="minorHAnsi"/>
        </w:rPr>
        <w:t>Les consultants(es) intéressés(es) sont priés(es) d’envoyer leurs offres</w:t>
      </w:r>
      <w:r w:rsidR="00B939CA">
        <w:rPr>
          <w:rFonts w:cstheme="minorHAnsi"/>
        </w:rPr>
        <w:t xml:space="preserve"> au plus tard le Lundi 15 avril </w:t>
      </w:r>
      <w:r w:rsidR="00B939CA" w:rsidRPr="00B939CA">
        <w:rPr>
          <w:rFonts w:cstheme="minorHAnsi"/>
        </w:rPr>
        <w:t xml:space="preserve">2024 </w:t>
      </w:r>
      <w:r w:rsidR="00B939CA" w:rsidRPr="00B939CA">
        <w:rPr>
          <w:rFonts w:cstheme="minorHAnsi"/>
        </w:rPr>
        <w:t xml:space="preserve"> à 16h00 GMT+1</w:t>
      </w:r>
      <w:r w:rsidRPr="00106F9E">
        <w:rPr>
          <w:rFonts w:cstheme="minorHAnsi"/>
        </w:rPr>
        <w:t xml:space="preserve"> à l’adresse</w:t>
      </w:r>
      <w:r w:rsidR="00D342DC">
        <w:rPr>
          <w:rFonts w:cstheme="minorHAnsi"/>
        </w:rPr>
        <w:t xml:space="preserve"> suivante : </w:t>
      </w:r>
      <w:r w:rsidR="00B939CA">
        <w:rPr>
          <w:rFonts w:cstheme="minorHAnsi"/>
        </w:rPr>
        <w:t xml:space="preserve">Mail : </w:t>
      </w:r>
      <w:hyperlink r:id="rId8" w:history="1">
        <w:r w:rsidR="00D342DC" w:rsidRPr="00E36054">
          <w:rPr>
            <w:rStyle w:val="Lienhypertexte"/>
            <w:rFonts w:cstheme="minorHAnsi"/>
          </w:rPr>
          <w:t>admi.opalsmaroc@gmail.com</w:t>
        </w:r>
      </w:hyperlink>
      <w:r w:rsidR="00D342DC">
        <w:rPr>
          <w:rFonts w:cstheme="minorHAnsi"/>
        </w:rPr>
        <w:t xml:space="preserve"> </w:t>
      </w:r>
    </w:p>
    <w:p w:rsidR="00034865" w:rsidRPr="00106F9E" w:rsidRDefault="00507D27" w:rsidP="00B939CA">
      <w:pPr>
        <w:pStyle w:val="TableParagraph"/>
        <w:spacing w:before="39" w:line="276" w:lineRule="auto"/>
        <w:ind w:right="339"/>
        <w:jc w:val="both"/>
        <w:rPr>
          <w:rFonts w:asciiTheme="minorHAnsi" w:hAnsiTheme="minorHAnsi" w:cstheme="minorHAnsi"/>
        </w:rPr>
      </w:pPr>
      <w:r w:rsidRPr="00106F9E">
        <w:rPr>
          <w:rFonts w:asciiTheme="minorHAnsi" w:hAnsiTheme="minorHAnsi" w:cstheme="minorHAnsi"/>
        </w:rPr>
        <w:t xml:space="preserve">Le sujet de l’email doit impérativement porter la mention suivante </w:t>
      </w:r>
      <w:r w:rsidR="00034865" w:rsidRPr="00106F9E">
        <w:rPr>
          <w:rFonts w:asciiTheme="minorHAnsi" w:hAnsiTheme="minorHAnsi" w:cstheme="minorHAnsi"/>
        </w:rPr>
        <w:t>« </w:t>
      </w:r>
      <w:r w:rsidR="00B939CA" w:rsidRPr="00B939CA">
        <w:rPr>
          <w:rFonts w:asciiTheme="minorHAnsi" w:hAnsiTheme="minorHAnsi" w:cstheme="minorHAnsi"/>
          <w:b/>
          <w:bCs/>
        </w:rPr>
        <w:t>Etude</w:t>
      </w:r>
      <w:bookmarkStart w:id="0" w:name="_GoBack"/>
      <w:bookmarkEnd w:id="0"/>
      <w:r w:rsidR="00B939CA" w:rsidRPr="00B939CA">
        <w:rPr>
          <w:rFonts w:asciiTheme="minorHAnsi" w:hAnsiTheme="minorHAnsi" w:cstheme="minorHAnsi"/>
          <w:b/>
          <w:bCs/>
        </w:rPr>
        <w:t xml:space="preserve"> sur les mutilations génitales féminines chez les migrantes au </w:t>
      </w:r>
      <w:r w:rsidR="00B939CA" w:rsidRPr="00B939CA">
        <w:rPr>
          <w:rFonts w:asciiTheme="minorHAnsi" w:hAnsiTheme="minorHAnsi" w:cstheme="minorHAnsi"/>
          <w:b/>
          <w:bCs/>
        </w:rPr>
        <w:t>Maroc</w:t>
      </w:r>
      <w:r w:rsidR="00B939CA" w:rsidRPr="00106F9E">
        <w:rPr>
          <w:rFonts w:asciiTheme="minorHAnsi" w:hAnsiTheme="minorHAnsi" w:cstheme="minorHAnsi"/>
        </w:rPr>
        <w:t xml:space="preserve"> »</w:t>
      </w:r>
    </w:p>
    <w:p w:rsidR="009D7300" w:rsidRDefault="00507D27" w:rsidP="009B0058">
      <w:pPr>
        <w:spacing w:line="276" w:lineRule="auto"/>
        <w:jc w:val="both"/>
        <w:rPr>
          <w:rFonts w:cstheme="minorHAnsi"/>
        </w:rPr>
      </w:pPr>
      <w:r w:rsidRPr="00106F9E">
        <w:rPr>
          <w:rFonts w:cstheme="minorHAnsi"/>
        </w:rPr>
        <w:t>Les dossiers qui parviendraient après la date et heure limites fixées ci-dessus ne seront pas pris en compte.</w:t>
      </w:r>
    </w:p>
    <w:p w:rsidR="00B939CA" w:rsidRDefault="00B939CA" w:rsidP="009B0058">
      <w:pPr>
        <w:spacing w:line="276" w:lineRule="auto"/>
        <w:jc w:val="both"/>
        <w:rPr>
          <w:rFonts w:cstheme="minorHAnsi"/>
        </w:rPr>
      </w:pPr>
    </w:p>
    <w:p w:rsidR="00B939CA" w:rsidRDefault="00B939CA" w:rsidP="009B0058">
      <w:pPr>
        <w:spacing w:line="276" w:lineRule="auto"/>
        <w:jc w:val="both"/>
        <w:rPr>
          <w:rFonts w:cstheme="minorHAnsi"/>
        </w:rPr>
      </w:pPr>
      <w:r>
        <w:rPr>
          <w:rFonts w:cstheme="minorHAnsi"/>
        </w:rPr>
        <w:t>Veuillez trouver ci-après le téléphone et le fax à toutes fins utiles.</w:t>
      </w:r>
    </w:p>
    <w:p w:rsidR="00B939CA" w:rsidRPr="00106F9E" w:rsidRDefault="00B939CA" w:rsidP="009B0058">
      <w:pPr>
        <w:spacing w:line="276" w:lineRule="auto"/>
        <w:jc w:val="both"/>
        <w:rPr>
          <w:rFonts w:cstheme="minorHAnsi"/>
        </w:rPr>
      </w:pPr>
      <w:r w:rsidRPr="00CB6765">
        <w:rPr>
          <w:rFonts w:cstheme="minorHAnsi"/>
          <w:b/>
          <w:bCs/>
        </w:rPr>
        <w:t>Tél :</w:t>
      </w:r>
      <w:r>
        <w:rPr>
          <w:rFonts w:cstheme="minorHAnsi"/>
        </w:rPr>
        <w:t xml:space="preserve"> 0537</w:t>
      </w:r>
      <w:r w:rsidR="00CB6765">
        <w:rPr>
          <w:rFonts w:cstheme="minorHAnsi"/>
        </w:rPr>
        <w:t xml:space="preserve">65 71 21 / </w:t>
      </w:r>
      <w:r w:rsidR="00CB6765" w:rsidRPr="00CB6765">
        <w:rPr>
          <w:rFonts w:cstheme="minorHAnsi"/>
          <w:b/>
          <w:bCs/>
        </w:rPr>
        <w:t>Fax :</w:t>
      </w:r>
      <w:r w:rsidR="00CB6765">
        <w:rPr>
          <w:rFonts w:cstheme="minorHAnsi"/>
        </w:rPr>
        <w:t xml:space="preserve"> 05 37 65 31 08</w:t>
      </w:r>
    </w:p>
    <w:sectPr w:rsidR="00B939CA" w:rsidRPr="00106F9E" w:rsidSect="00B2193A">
      <w:foot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048" w:rsidRDefault="00E36048" w:rsidP="00B85D38">
      <w:r>
        <w:separator/>
      </w:r>
    </w:p>
  </w:endnote>
  <w:endnote w:type="continuationSeparator" w:id="0">
    <w:p w:rsidR="00E36048" w:rsidRDefault="00E36048" w:rsidP="00B8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243655"/>
      <w:docPartObj>
        <w:docPartGallery w:val="Page Numbers (Bottom of Page)"/>
        <w:docPartUnique/>
      </w:docPartObj>
    </w:sdtPr>
    <w:sdtEndPr>
      <w:rPr>
        <w:noProof/>
      </w:rPr>
    </w:sdtEndPr>
    <w:sdtContent>
      <w:p w:rsidR="00B85D38" w:rsidRDefault="00A77F82">
        <w:pPr>
          <w:pStyle w:val="Pieddepage"/>
          <w:jc w:val="right"/>
        </w:pPr>
        <w:r>
          <w:fldChar w:fldCharType="begin"/>
        </w:r>
        <w:r w:rsidR="00B85D38">
          <w:instrText xml:space="preserve"> PAGE   \* MERGEFORMAT </w:instrText>
        </w:r>
        <w:r>
          <w:fldChar w:fldCharType="separate"/>
        </w:r>
        <w:r w:rsidR="00CB6765">
          <w:rPr>
            <w:noProof/>
          </w:rPr>
          <w:t>1</w:t>
        </w:r>
        <w:r>
          <w:rPr>
            <w:noProof/>
          </w:rPr>
          <w:fldChar w:fldCharType="end"/>
        </w:r>
      </w:p>
    </w:sdtContent>
  </w:sdt>
  <w:p w:rsidR="00B85D38" w:rsidRDefault="00B85D3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048" w:rsidRDefault="00E36048" w:rsidP="00B85D38">
      <w:r>
        <w:separator/>
      </w:r>
    </w:p>
  </w:footnote>
  <w:footnote w:type="continuationSeparator" w:id="0">
    <w:p w:rsidR="00E36048" w:rsidRDefault="00E36048" w:rsidP="00B85D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866B00"/>
    <w:multiLevelType w:val="hybridMultilevel"/>
    <w:tmpl w:val="547A30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FF739C0"/>
    <w:multiLevelType w:val="hybridMultilevel"/>
    <w:tmpl w:val="6CB83F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9B2D46"/>
    <w:multiLevelType w:val="hybridMultilevel"/>
    <w:tmpl w:val="AA5AE0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5261F04"/>
    <w:multiLevelType w:val="hybridMultilevel"/>
    <w:tmpl w:val="8A0085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66A3487"/>
    <w:multiLevelType w:val="hybridMultilevel"/>
    <w:tmpl w:val="CE482E68"/>
    <w:lvl w:ilvl="0" w:tplc="53905492">
      <w:start w:val="4"/>
      <w:numFmt w:val="bullet"/>
      <w:lvlText w:val="-"/>
      <w:lvlJc w:val="left"/>
      <w:pPr>
        <w:ind w:left="720" w:hanging="360"/>
      </w:pPr>
      <w:rPr>
        <w:rFonts w:ascii="Book Antiqua" w:eastAsia="Book Antiqua"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017126"/>
    <w:multiLevelType w:val="hybridMultilevel"/>
    <w:tmpl w:val="5C267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240058"/>
    <w:multiLevelType w:val="hybridMultilevel"/>
    <w:tmpl w:val="5BCE8A6A"/>
    <w:lvl w:ilvl="0" w:tplc="BDC8268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EE7EA5"/>
    <w:multiLevelType w:val="hybridMultilevel"/>
    <w:tmpl w:val="959E5D04"/>
    <w:lvl w:ilvl="0" w:tplc="53905492">
      <w:start w:val="4"/>
      <w:numFmt w:val="bullet"/>
      <w:lvlText w:val="-"/>
      <w:lvlJc w:val="left"/>
      <w:pPr>
        <w:ind w:left="720" w:hanging="360"/>
      </w:pPr>
      <w:rPr>
        <w:rFonts w:ascii="Book Antiqua" w:eastAsia="Book Antiqua"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D4504B"/>
    <w:multiLevelType w:val="hybridMultilevel"/>
    <w:tmpl w:val="02A24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3"/>
  </w:num>
  <w:num w:numId="11">
    <w:abstractNumId w:val="9"/>
  </w:num>
  <w:num w:numId="12">
    <w:abstractNumId w:val="16"/>
  </w:num>
  <w:num w:numId="13">
    <w:abstractNumId w:val="15"/>
  </w:num>
  <w:num w:numId="14">
    <w:abstractNumId w:val="12"/>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65"/>
    <w:rsid w:val="00034865"/>
    <w:rsid w:val="000A6936"/>
    <w:rsid w:val="000F21DB"/>
    <w:rsid w:val="00106F9E"/>
    <w:rsid w:val="00194AA9"/>
    <w:rsid w:val="001D51C2"/>
    <w:rsid w:val="00200D8C"/>
    <w:rsid w:val="002E7D07"/>
    <w:rsid w:val="00330541"/>
    <w:rsid w:val="00370F27"/>
    <w:rsid w:val="00382211"/>
    <w:rsid w:val="003A7FC3"/>
    <w:rsid w:val="003D5BE1"/>
    <w:rsid w:val="003F7C52"/>
    <w:rsid w:val="00446E4D"/>
    <w:rsid w:val="00450E83"/>
    <w:rsid w:val="00457228"/>
    <w:rsid w:val="0046265C"/>
    <w:rsid w:val="004700F5"/>
    <w:rsid w:val="00491AC0"/>
    <w:rsid w:val="00491AF7"/>
    <w:rsid w:val="004C5C8C"/>
    <w:rsid w:val="004F60A9"/>
    <w:rsid w:val="004F795B"/>
    <w:rsid w:val="00507D27"/>
    <w:rsid w:val="005144CD"/>
    <w:rsid w:val="005F218B"/>
    <w:rsid w:val="005F48FB"/>
    <w:rsid w:val="005F5FBE"/>
    <w:rsid w:val="006E3FC7"/>
    <w:rsid w:val="00725DD2"/>
    <w:rsid w:val="007469FE"/>
    <w:rsid w:val="00747718"/>
    <w:rsid w:val="00751D23"/>
    <w:rsid w:val="007630D3"/>
    <w:rsid w:val="00806166"/>
    <w:rsid w:val="00825C33"/>
    <w:rsid w:val="00865DC1"/>
    <w:rsid w:val="00892EB9"/>
    <w:rsid w:val="008B153C"/>
    <w:rsid w:val="008D578D"/>
    <w:rsid w:val="00910CD5"/>
    <w:rsid w:val="009334B2"/>
    <w:rsid w:val="00935329"/>
    <w:rsid w:val="009B0058"/>
    <w:rsid w:val="009B68B1"/>
    <w:rsid w:val="009C4A87"/>
    <w:rsid w:val="009D7300"/>
    <w:rsid w:val="00A56AE2"/>
    <w:rsid w:val="00A77F82"/>
    <w:rsid w:val="00B13985"/>
    <w:rsid w:val="00B2193A"/>
    <w:rsid w:val="00B2559A"/>
    <w:rsid w:val="00B429F3"/>
    <w:rsid w:val="00B76DDF"/>
    <w:rsid w:val="00B85D38"/>
    <w:rsid w:val="00B939CA"/>
    <w:rsid w:val="00BF643D"/>
    <w:rsid w:val="00CA7465"/>
    <w:rsid w:val="00CB6765"/>
    <w:rsid w:val="00CD1F49"/>
    <w:rsid w:val="00D342DC"/>
    <w:rsid w:val="00D527E6"/>
    <w:rsid w:val="00DC28BF"/>
    <w:rsid w:val="00DE75E9"/>
    <w:rsid w:val="00DF2E05"/>
    <w:rsid w:val="00E243F1"/>
    <w:rsid w:val="00E3567B"/>
    <w:rsid w:val="00E36048"/>
    <w:rsid w:val="00E50059"/>
    <w:rsid w:val="00E56C6D"/>
    <w:rsid w:val="00E67026"/>
    <w:rsid w:val="00E67C09"/>
    <w:rsid w:val="00E725E5"/>
    <w:rsid w:val="00F7796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FB7B"/>
  <w15:docId w15:val="{9E64C89F-DE8C-45C4-BB79-23C0D890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C0"/>
  </w:style>
  <w:style w:type="paragraph" w:styleId="Titre1">
    <w:name w:val="heading 1"/>
    <w:basedOn w:val="Normal"/>
    <w:next w:val="Normal"/>
    <w:link w:val="Titre1Car"/>
    <w:uiPriority w:val="9"/>
    <w:qFormat/>
    <w:rsid w:val="00CA74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465"/>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382211"/>
    <w:pPr>
      <w:ind w:left="720"/>
      <w:contextualSpacing/>
    </w:pPr>
  </w:style>
  <w:style w:type="table" w:styleId="Grilledutableau">
    <w:name w:val="Table Grid"/>
    <w:basedOn w:val="TableauNormal"/>
    <w:uiPriority w:val="39"/>
    <w:rsid w:val="005F4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85D38"/>
    <w:pPr>
      <w:tabs>
        <w:tab w:val="center" w:pos="4703"/>
        <w:tab w:val="right" w:pos="9406"/>
      </w:tabs>
    </w:pPr>
  </w:style>
  <w:style w:type="character" w:customStyle="1" w:styleId="En-tteCar">
    <w:name w:val="En-tête Car"/>
    <w:basedOn w:val="Policepardfaut"/>
    <w:link w:val="En-tte"/>
    <w:uiPriority w:val="99"/>
    <w:rsid w:val="00B85D38"/>
  </w:style>
  <w:style w:type="paragraph" w:styleId="Pieddepage">
    <w:name w:val="footer"/>
    <w:basedOn w:val="Normal"/>
    <w:link w:val="PieddepageCar"/>
    <w:uiPriority w:val="99"/>
    <w:unhideWhenUsed/>
    <w:rsid w:val="00B85D38"/>
    <w:pPr>
      <w:tabs>
        <w:tab w:val="center" w:pos="4703"/>
        <w:tab w:val="right" w:pos="9406"/>
      </w:tabs>
    </w:pPr>
  </w:style>
  <w:style w:type="character" w:customStyle="1" w:styleId="PieddepageCar">
    <w:name w:val="Pied de page Car"/>
    <w:basedOn w:val="Policepardfaut"/>
    <w:link w:val="Pieddepage"/>
    <w:uiPriority w:val="99"/>
    <w:rsid w:val="00B85D38"/>
  </w:style>
  <w:style w:type="paragraph" w:customStyle="1" w:styleId="TableParagraph">
    <w:name w:val="Table Paragraph"/>
    <w:basedOn w:val="Normal"/>
    <w:uiPriority w:val="1"/>
    <w:qFormat/>
    <w:rsid w:val="00034865"/>
    <w:pPr>
      <w:widowControl w:val="0"/>
      <w:autoSpaceDE w:val="0"/>
      <w:autoSpaceDN w:val="0"/>
    </w:pPr>
    <w:rPr>
      <w:rFonts w:ascii="Calibri" w:eastAsia="Calibri" w:hAnsi="Calibri" w:cs="Calibri"/>
      <w:sz w:val="22"/>
      <w:szCs w:val="22"/>
    </w:rPr>
  </w:style>
  <w:style w:type="character" w:customStyle="1" w:styleId="citation-link">
    <w:name w:val="citation-link"/>
    <w:basedOn w:val="Policepardfaut"/>
    <w:rsid w:val="007630D3"/>
  </w:style>
  <w:style w:type="paragraph" w:customStyle="1" w:styleId="Default">
    <w:name w:val="Default"/>
    <w:rsid w:val="00106F9E"/>
    <w:pPr>
      <w:autoSpaceDE w:val="0"/>
      <w:autoSpaceDN w:val="0"/>
      <w:adjustRightInd w:val="0"/>
    </w:pPr>
    <w:rPr>
      <w:rFonts w:ascii="Times New Roman" w:eastAsiaTheme="minorEastAsia" w:hAnsi="Times New Roman" w:cs="Times New Roman"/>
      <w:color w:val="000000"/>
    </w:rPr>
  </w:style>
  <w:style w:type="table" w:customStyle="1" w:styleId="Grilledetableauclaire1">
    <w:name w:val="Grille de tableau claire1"/>
    <w:basedOn w:val="TableauNormal"/>
    <w:uiPriority w:val="40"/>
    <w:rsid w:val="00106F9E"/>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D342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opalsmaro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5C02-9E2F-4A7E-B8A0-C98D6DF5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7307</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SECRETARIAT</cp:lastModifiedBy>
  <cp:revision>2</cp:revision>
  <dcterms:created xsi:type="dcterms:W3CDTF">2024-04-04T12:18:00Z</dcterms:created>
  <dcterms:modified xsi:type="dcterms:W3CDTF">2024-04-04T12:18:00Z</dcterms:modified>
</cp:coreProperties>
</file>