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1C11" w14:textId="77777777" w:rsidR="00701408" w:rsidRDefault="00701408" w:rsidP="00C92D88">
      <w:pPr>
        <w:spacing w:before="240" w:after="240" w:line="240" w:lineRule="auto"/>
        <w:jc w:val="right"/>
        <w:rPr>
          <w:rFonts w:ascii="Simplified Arabic" w:eastAsia="Simplified Arabic" w:hAnsi="Simplified Arabic" w:cs="Simplified Arabic"/>
          <w:b/>
          <w:sz w:val="24"/>
          <w:szCs w:val="24"/>
          <w:rtl/>
        </w:rPr>
      </w:pPr>
    </w:p>
    <w:p w14:paraId="3F90104E" w14:textId="66EB2AB8" w:rsidR="00C92D88" w:rsidRDefault="00701408" w:rsidP="00C92D88">
      <w:pPr>
        <w:spacing w:before="240" w:after="240" w:line="240" w:lineRule="auto"/>
        <w:jc w:val="right"/>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Rabat</w:t>
      </w:r>
      <w:r w:rsidR="00C92D88">
        <w:rPr>
          <w:rFonts w:ascii="Simplified Arabic" w:eastAsia="Simplified Arabic" w:hAnsi="Simplified Arabic" w:cs="Simplified Arabic"/>
          <w:b/>
          <w:sz w:val="24"/>
          <w:szCs w:val="24"/>
        </w:rPr>
        <w:t>, le 23 octobre 2023</w:t>
      </w:r>
    </w:p>
    <w:p w14:paraId="00000002" w14:textId="64AC42EB" w:rsidR="0064195A" w:rsidRPr="00C92D88" w:rsidRDefault="00000000">
      <w:pPr>
        <w:spacing w:before="240" w:after="240" w:line="240" w:lineRule="auto"/>
        <w:jc w:val="center"/>
        <w:rPr>
          <w:rFonts w:ascii="Simplified Arabic" w:eastAsia="Simplified Arabic" w:hAnsi="Simplified Arabic" w:cs="Simplified Arabic"/>
          <w:b/>
          <w:sz w:val="24"/>
          <w:szCs w:val="24"/>
        </w:rPr>
      </w:pPr>
      <w:r w:rsidRPr="00C92D88">
        <w:rPr>
          <w:rFonts w:ascii="Simplified Arabic" w:eastAsia="Simplified Arabic" w:hAnsi="Simplified Arabic" w:cs="Simplified Arabic"/>
          <w:b/>
          <w:sz w:val="24"/>
          <w:szCs w:val="24"/>
        </w:rPr>
        <w:t>COMMUNIQUÉ DE PRESSE</w:t>
      </w:r>
    </w:p>
    <w:p w14:paraId="39D9695F" w14:textId="14CE5F7F" w:rsidR="00C92D88" w:rsidRPr="00C92D88" w:rsidRDefault="00000000" w:rsidP="00C92D88">
      <w:pPr>
        <w:spacing w:before="240" w:after="240" w:line="240" w:lineRule="auto"/>
        <w:jc w:val="center"/>
        <w:rPr>
          <w:rFonts w:ascii="Simplified Arabic" w:eastAsia="Simplified Arabic" w:hAnsi="Simplified Arabic" w:cs="Simplified Arabic"/>
          <w:b/>
          <w:sz w:val="28"/>
          <w:szCs w:val="28"/>
        </w:rPr>
      </w:pPr>
      <w:r w:rsidRPr="00C92D88">
        <w:rPr>
          <w:rFonts w:ascii="Simplified Arabic" w:eastAsia="Simplified Arabic" w:hAnsi="Simplified Arabic" w:cs="Simplified Arabic"/>
          <w:b/>
          <w:sz w:val="28"/>
          <w:szCs w:val="28"/>
        </w:rPr>
        <w:t xml:space="preserve">UNE COALITION ASSOCIATIVE DE DIX-HUIT (18) ONG MAROCAINES MOBILISÉES POUR UNE JUSTICE PÉNALE DES MINEURS PLUS EFFICIENTE </w:t>
      </w:r>
    </w:p>
    <w:p w14:paraId="00000004" w14:textId="405BB27A" w:rsidR="0064195A" w:rsidRPr="00C92D88" w:rsidRDefault="00000000">
      <w:pPr>
        <w:spacing w:line="240" w:lineRule="auto"/>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Sous le titre « Pour une justice pénale des mineurs plus efficiente » et sous le slogan « Chaque enfant mérite une deuxième chance », La</w:t>
      </w:r>
      <w:r w:rsidR="00C92D88">
        <w:rPr>
          <w:rFonts w:ascii="Simplified Arabic" w:eastAsia="Simplified Arabic" w:hAnsi="Simplified Arabic" w:cs="Simplified Arabic"/>
          <w:sz w:val="24"/>
          <w:szCs w:val="24"/>
        </w:rPr>
        <w:t xml:space="preserve"> C</w:t>
      </w:r>
      <w:r w:rsidRPr="00C92D88">
        <w:rPr>
          <w:rFonts w:ascii="Simplified Arabic" w:eastAsia="Simplified Arabic" w:hAnsi="Simplified Arabic" w:cs="Simplified Arabic"/>
          <w:sz w:val="24"/>
          <w:szCs w:val="24"/>
        </w:rPr>
        <w:t>oalition nationale pour la campagne de plaidoyer en faveur de la justice juvénile, initiée par le National Center for State Courts (NCSC)- Bureau du Maroc, a organisé une réunion d’information à laquelle ont participé les 18 associations membres</w:t>
      </w:r>
      <w:r w:rsidR="00C92D88">
        <w:rPr>
          <w:rFonts w:ascii="Simplified Arabic" w:eastAsia="Simplified Arabic" w:hAnsi="Simplified Arabic" w:cs="Simplified Arabic"/>
          <w:sz w:val="24"/>
          <w:szCs w:val="24"/>
        </w:rPr>
        <w:t>, le 14 octobre à Casablanca.</w:t>
      </w:r>
      <w:r w:rsidRPr="00C92D88">
        <w:rPr>
          <w:rFonts w:ascii="Simplified Arabic" w:eastAsia="Simplified Arabic" w:hAnsi="Simplified Arabic" w:cs="Simplified Arabic"/>
          <w:sz w:val="24"/>
          <w:szCs w:val="24"/>
        </w:rPr>
        <w:t xml:space="preserve"> </w:t>
      </w:r>
      <w:r w:rsidR="00C92D88">
        <w:rPr>
          <w:rFonts w:ascii="Simplified Arabic" w:eastAsia="Simplified Arabic" w:hAnsi="Simplified Arabic" w:cs="Simplified Arabic"/>
          <w:sz w:val="24"/>
          <w:szCs w:val="24"/>
        </w:rPr>
        <w:t xml:space="preserve">La </w:t>
      </w:r>
      <w:r w:rsidRPr="00C92D88">
        <w:rPr>
          <w:rFonts w:ascii="Simplified Arabic" w:eastAsia="Simplified Arabic" w:hAnsi="Simplified Arabic" w:cs="Simplified Arabic"/>
          <w:sz w:val="24"/>
          <w:szCs w:val="24"/>
        </w:rPr>
        <w:t>NCSC est une organisation internationale soucieuse de renforcer les efforts pour la réforme des systèmes judiciaires à travers le monde. L'objectif de cette rencontre était de renforcer l'élan et l'impact de cette action citoyenne, de poursuivre la mobilisation pour sensibiliser aux droits des enfants en contact avec la loi, préparer les prochaines étapes et discuter d’une stratégie de communication avec les institutions gouvernementales et les membres du parlement.</w:t>
      </w:r>
    </w:p>
    <w:p w14:paraId="00000005" w14:textId="77777777" w:rsidR="0064195A" w:rsidRPr="00C92D88" w:rsidRDefault="00000000">
      <w:pPr>
        <w:spacing w:line="240" w:lineRule="auto"/>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 xml:space="preserve">La campagne de plaidoyer vise à atteindre trois objectifs principaux: Renforcer la protection juridique des mineurs, en préconisant un certain nombre de procédures juridiques et de règles de protection de droits de l'homme dans les différentes phases de procédures judiciaires; Créer une infrastructure appropriée pour soutenir la protection et la réhabilitation des enfants, à travers le développement des performances institutionnelles des centres de détention et l'application des peines; et aussi en contribuant au développement des programmes gouvernementaux en matière de justice juvénile, non seulement en injectant des capacités matérielles et humaines qualifiées afin de protéger les enfants de la délinquance, mais aussi en favorisant la bonne gouvernance afin d'élever le niveau de performance </w:t>
      </w:r>
      <w:r w:rsidRPr="00C92D88">
        <w:rPr>
          <w:rFonts w:ascii="Simplified Arabic" w:hAnsi="Simplified Arabic" w:cs="Simplified Arabic"/>
          <w:sz w:val="24"/>
          <w:szCs w:val="24"/>
        </w:rPr>
        <w:t>des politiques publiques convergentes et intégrantes destinées aux enfants, aux niveaux : national, régional et local</w:t>
      </w:r>
      <w:r w:rsidRPr="00C92D88">
        <w:rPr>
          <w:rFonts w:ascii="Simplified Arabic" w:eastAsia="Simplified Arabic" w:hAnsi="Simplified Arabic" w:cs="Simplified Arabic"/>
          <w:sz w:val="24"/>
          <w:szCs w:val="24"/>
        </w:rPr>
        <w:t>.</w:t>
      </w:r>
    </w:p>
    <w:p w14:paraId="00000006" w14:textId="288343A6" w:rsidR="0064195A" w:rsidRPr="00C92D88" w:rsidRDefault="00000000">
      <w:pPr>
        <w:spacing w:line="240" w:lineRule="auto"/>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 xml:space="preserve">Depuis le lancement de la campagne de plaidoyer en février 2023, la coalition a intensifié ses consultations avec différents partenaires de la société civile, des institutions gouvernementales et des experts, afin de préparer et rédiger le mémorandum de plaidoyer, qui comprenait 27 </w:t>
      </w:r>
      <w:r w:rsidRPr="00C92D88">
        <w:rPr>
          <w:rFonts w:ascii="Simplified Arabic" w:eastAsia="Simplified Arabic" w:hAnsi="Simplified Arabic" w:cs="Simplified Arabic"/>
          <w:sz w:val="24"/>
          <w:szCs w:val="24"/>
        </w:rPr>
        <w:lastRenderedPageBreak/>
        <w:t xml:space="preserve">observations, spécifiquement concernant le Livre </w:t>
      </w:r>
      <w:r w:rsidR="00C92D88">
        <w:rPr>
          <w:rFonts w:ascii="Simplified Arabic" w:eastAsia="Simplified Arabic" w:hAnsi="Simplified Arabic" w:cs="Simplified Arabic"/>
          <w:sz w:val="24"/>
          <w:szCs w:val="24"/>
        </w:rPr>
        <w:t>T</w:t>
      </w:r>
      <w:r w:rsidRPr="00C92D88">
        <w:rPr>
          <w:rFonts w:ascii="Simplified Arabic" w:eastAsia="Simplified Arabic" w:hAnsi="Simplified Arabic" w:cs="Simplified Arabic"/>
          <w:sz w:val="24"/>
          <w:szCs w:val="24"/>
        </w:rPr>
        <w:t>rois du Code de procédure pénale. Le mémorandum a été divisé en trois axes, à travers lesquels il a proposé des modifications juridiques et procédurales, ainsi que des garanties protectrices et juridiques pour le mineur délinquant, le mineur victime et le mineur en situation difficile.</w:t>
      </w:r>
    </w:p>
    <w:p w14:paraId="00000007" w14:textId="77777777" w:rsidR="0064195A" w:rsidRPr="00C92D88" w:rsidRDefault="00000000">
      <w:pPr>
        <w:spacing w:line="240" w:lineRule="auto"/>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Il est à noter que le National Center for State Courts - Bureau Maroc a lancé, en octobre 2021, un programme visant à contribuer aux efforts de réforme du système de justice juvénile au Maroc, intitulé « Amélioration des conditions de détention des jeunes au Maroc», ayant comme objectif d'apporter un soutien éducatif, psychologique et un accompagnement professionnel au profit des jeunes détenus de moins de 20 ans dans la région de Casablanca, et également de renforcer les efforts de coordination entre les différentes institutions impliquées dans la justice des mineurs, dans ses quatre étapes consistant en l'arrestation , contentieux, exécution de la peine et suivi post carcéral. Cela s'ajoute à la contribution au développement du débat sur les projets de lois de procédure pénale et de peines alternatives, ainsi que sur les moyens et mécanismes de développement des services sociaux au sein des établissements pénitentiaires.</w:t>
      </w:r>
    </w:p>
    <w:p w14:paraId="00000008" w14:textId="72D4F1B9" w:rsidR="0064195A" w:rsidRPr="00C92D88" w:rsidRDefault="00000000">
      <w:pPr>
        <w:spacing w:line="240" w:lineRule="auto"/>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 xml:space="preserve">Contact presse : </w:t>
      </w:r>
      <w:r w:rsidR="00C92D88">
        <w:rPr>
          <w:rFonts w:ascii="Simplified Arabic" w:eastAsia="Simplified Arabic" w:hAnsi="Simplified Arabic" w:cs="Simplified Arabic"/>
          <w:sz w:val="24"/>
          <w:szCs w:val="24"/>
        </w:rPr>
        <w:t xml:space="preserve">S. </w:t>
      </w:r>
      <w:proofErr w:type="spellStart"/>
      <w:r w:rsidR="00C92D88">
        <w:rPr>
          <w:rFonts w:ascii="Simplified Arabic" w:eastAsia="Simplified Arabic" w:hAnsi="Simplified Arabic" w:cs="Simplified Arabic"/>
          <w:sz w:val="24"/>
          <w:szCs w:val="24"/>
        </w:rPr>
        <w:t>Lemaizi</w:t>
      </w:r>
      <w:proofErr w:type="spellEnd"/>
      <w:r w:rsidR="000F2D98">
        <w:rPr>
          <w:rFonts w:ascii="Simplified Arabic" w:eastAsia="Simplified Arabic" w:hAnsi="Simplified Arabic" w:cs="Simplified Arabic"/>
          <w:sz w:val="24"/>
          <w:szCs w:val="24"/>
        </w:rPr>
        <w:t xml:space="preserve">, </w:t>
      </w:r>
      <w:r w:rsidRPr="00C92D88">
        <w:rPr>
          <w:rFonts w:ascii="Simplified Arabic" w:eastAsia="Simplified Arabic" w:hAnsi="Simplified Arabic" w:cs="Simplified Arabic"/>
          <w:sz w:val="24"/>
          <w:szCs w:val="24"/>
        </w:rPr>
        <w:t>0669-503560</w:t>
      </w:r>
    </w:p>
    <w:p w14:paraId="00000009" w14:textId="4304C243" w:rsidR="0064195A" w:rsidRPr="00C92D88" w:rsidRDefault="00000000" w:rsidP="004D4C03">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Simplified Arabic" w:eastAsia="Simplified Arabic" w:hAnsi="Simplified Arabic" w:cs="Simplified Arabic"/>
          <w:b/>
          <w:bCs/>
          <w:sz w:val="24"/>
          <w:szCs w:val="24"/>
          <w:highlight w:val="yellow"/>
        </w:rPr>
      </w:pPr>
      <w:r w:rsidRPr="00C92D88">
        <w:rPr>
          <w:rFonts w:ascii="Simplified Arabic" w:eastAsia="Simplified Arabic" w:hAnsi="Simplified Arabic" w:cs="Simplified Arabic"/>
          <w:b/>
          <w:bCs/>
          <w:sz w:val="24"/>
          <w:szCs w:val="24"/>
        </w:rPr>
        <w:t>Liste des ONG membres de la coalition</w:t>
      </w:r>
      <w:r w:rsidR="00C92D88">
        <w:rPr>
          <w:rFonts w:ascii="Simplified Arabic" w:eastAsia="Simplified Arabic" w:hAnsi="Simplified Arabic" w:cs="Simplified Arabic"/>
          <w:b/>
          <w:bCs/>
          <w:sz w:val="24"/>
          <w:szCs w:val="24"/>
        </w:rPr>
        <w:t xml:space="preserve"> </w:t>
      </w:r>
      <w:r w:rsidRPr="00C92D88">
        <w:rPr>
          <w:rFonts w:ascii="Simplified Arabic" w:eastAsia="Simplified Arabic" w:hAnsi="Simplified Arabic" w:cs="Simplified Arabic"/>
          <w:b/>
          <w:bCs/>
          <w:sz w:val="24"/>
          <w:szCs w:val="24"/>
        </w:rPr>
        <w:t>:</w:t>
      </w:r>
    </w:p>
    <w:p w14:paraId="0000000A"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 xml:space="preserve">1. </w:t>
      </w:r>
      <w:r w:rsidRPr="00C92D88">
        <w:rPr>
          <w:rFonts w:ascii="Simplified Arabic" w:eastAsia="Simplified Arabic" w:hAnsi="Simplified Arabic" w:cs="Simplified Arabic"/>
          <w:sz w:val="24"/>
          <w:szCs w:val="24"/>
        </w:rPr>
        <w:tab/>
        <w:t xml:space="preserve">Association </w:t>
      </w:r>
      <w:proofErr w:type="spellStart"/>
      <w:r w:rsidRPr="00C92D88">
        <w:rPr>
          <w:rFonts w:ascii="Simplified Arabic" w:eastAsia="Simplified Arabic" w:hAnsi="Simplified Arabic" w:cs="Simplified Arabic"/>
          <w:sz w:val="24"/>
          <w:szCs w:val="24"/>
        </w:rPr>
        <w:t>Bayti</w:t>
      </w:r>
      <w:proofErr w:type="spellEnd"/>
    </w:p>
    <w:p w14:paraId="0000000B"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2.  Association Relais Prison-Société</w:t>
      </w:r>
    </w:p>
    <w:p w14:paraId="0000000C"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3.  Association Jeunes pour Jeunes</w:t>
      </w:r>
    </w:p>
    <w:p w14:paraId="0000000D"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4.  L’Observatoire Marocain sur l’Extrémisme et la Violence</w:t>
      </w:r>
    </w:p>
    <w:p w14:paraId="0000000E"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5.  Association Chantiers Jeunesse Maroc</w:t>
      </w:r>
    </w:p>
    <w:p w14:paraId="0000000F"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 xml:space="preserve">6.  L’Organisation Alternatives pour l'Enfance et la Jeunesse </w:t>
      </w:r>
    </w:p>
    <w:p w14:paraId="00000010"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7.  Association Salam pour le développement et l’action sociale</w:t>
      </w:r>
    </w:p>
    <w:p w14:paraId="00000011"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8.  L’Association nationale pour la protection de l’enfance</w:t>
      </w:r>
    </w:p>
    <w:p w14:paraId="00000012"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9.  L’Association de soutien à l’Unité de protection de l’enfance</w:t>
      </w:r>
    </w:p>
    <w:p w14:paraId="00000013" w14:textId="38C39A5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 xml:space="preserve">10. Le Centre </w:t>
      </w:r>
      <w:proofErr w:type="spellStart"/>
      <w:r w:rsidR="00C92D88" w:rsidRPr="00C92D88">
        <w:rPr>
          <w:rFonts w:ascii="Simplified Arabic" w:eastAsia="Simplified Arabic" w:hAnsi="Simplified Arabic" w:cs="Simplified Arabic"/>
          <w:sz w:val="24"/>
          <w:szCs w:val="24"/>
        </w:rPr>
        <w:t>Saïss</w:t>
      </w:r>
      <w:proofErr w:type="spellEnd"/>
      <w:r w:rsidRPr="00C92D88">
        <w:rPr>
          <w:rFonts w:ascii="Simplified Arabic" w:eastAsia="Simplified Arabic" w:hAnsi="Simplified Arabic" w:cs="Simplified Arabic"/>
          <w:sz w:val="24"/>
          <w:szCs w:val="24"/>
        </w:rPr>
        <w:t xml:space="preserve"> pour Protection de La Famille et de L'Enfance</w:t>
      </w:r>
    </w:p>
    <w:p w14:paraId="00000014"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11. L'Observatoire marocain de lutte contre le terrorisme et l'extrémisme</w:t>
      </w:r>
    </w:p>
    <w:p w14:paraId="00000015"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12. Le Réseau des entrepreneuses et entrepreneurs contre la peine de mort</w:t>
      </w:r>
    </w:p>
    <w:p w14:paraId="00000016"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13. Association de la Génération Initiatrice</w:t>
      </w:r>
    </w:p>
    <w:p w14:paraId="00000017"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14. SOS village d’enfant - Casablanca</w:t>
      </w:r>
    </w:p>
    <w:p w14:paraId="00000018"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15. Association Centre de Services à la Jeunesse – Tanger</w:t>
      </w:r>
    </w:p>
    <w:p w14:paraId="00000019"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16. Association de Soutien de l’enfance et la Jeunesse - Tanger</w:t>
      </w:r>
    </w:p>
    <w:p w14:paraId="0000001A" w14:textId="77777777" w:rsidR="0064195A" w:rsidRPr="00C92D88" w:rsidRDefault="00000000">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lastRenderedPageBreak/>
        <w:t>17. Centre National des études juridiques</w:t>
      </w:r>
    </w:p>
    <w:p w14:paraId="0000001C" w14:textId="7AA8A281" w:rsidR="0064195A" w:rsidRPr="00C92D88" w:rsidRDefault="00000000" w:rsidP="00C92D88">
      <w:pPr>
        <w:pBdr>
          <w:top w:val="none" w:sz="0" w:space="0" w:color="000000"/>
          <w:left w:val="none" w:sz="0" w:space="14" w:color="000000"/>
          <w:bottom w:val="none" w:sz="0" w:space="0" w:color="000000"/>
          <w:right w:val="none" w:sz="0" w:space="0" w:color="000000"/>
          <w:between w:val="none" w:sz="0" w:space="0" w:color="000000"/>
        </w:pBdr>
        <w:spacing w:after="0" w:line="240" w:lineRule="auto"/>
        <w:ind w:left="1080" w:hanging="360"/>
        <w:jc w:val="both"/>
        <w:rPr>
          <w:rFonts w:ascii="Simplified Arabic" w:eastAsia="Simplified Arabic" w:hAnsi="Simplified Arabic" w:cs="Simplified Arabic"/>
          <w:sz w:val="24"/>
          <w:szCs w:val="24"/>
        </w:rPr>
      </w:pPr>
      <w:r w:rsidRPr="00C92D88">
        <w:rPr>
          <w:rFonts w:ascii="Simplified Arabic" w:eastAsia="Simplified Arabic" w:hAnsi="Simplified Arabic" w:cs="Simplified Arabic"/>
          <w:sz w:val="24"/>
          <w:szCs w:val="24"/>
        </w:rPr>
        <w:t xml:space="preserve">18. </w:t>
      </w:r>
      <w:r w:rsidRPr="00C92D88">
        <w:rPr>
          <w:rFonts w:ascii="Simplified Arabic" w:hAnsi="Simplified Arabic" w:cs="Simplified Arabic"/>
          <w:sz w:val="24"/>
          <w:szCs w:val="24"/>
        </w:rPr>
        <w:t xml:space="preserve">Fondation </w:t>
      </w:r>
      <w:proofErr w:type="spellStart"/>
      <w:r w:rsidRPr="00C92D88">
        <w:rPr>
          <w:rFonts w:ascii="Simplified Arabic" w:hAnsi="Simplified Arabic" w:cs="Simplified Arabic"/>
          <w:sz w:val="24"/>
          <w:szCs w:val="24"/>
        </w:rPr>
        <w:t>Idmaj</w:t>
      </w:r>
      <w:proofErr w:type="spellEnd"/>
      <w:r w:rsidRPr="00C92D88">
        <w:rPr>
          <w:rFonts w:ascii="Simplified Arabic" w:hAnsi="Simplified Arabic" w:cs="Simplified Arabic"/>
          <w:sz w:val="24"/>
          <w:szCs w:val="24"/>
        </w:rPr>
        <w:t xml:space="preserve"> pour le développement</w:t>
      </w:r>
      <w:r w:rsidRPr="00C92D88">
        <w:rPr>
          <w:rFonts w:ascii="Simplified Arabic" w:eastAsia="Simplified Arabic" w:hAnsi="Simplified Arabic" w:cs="Simplified Arabic"/>
          <w:sz w:val="24"/>
          <w:szCs w:val="24"/>
        </w:rPr>
        <w:t xml:space="preserve"> </w:t>
      </w:r>
    </w:p>
    <w:sectPr w:rsidR="0064195A" w:rsidRPr="00C92D88">
      <w:headerReference w:type="default" r:id="rId7"/>
      <w:footerReference w:type="default" r:id="rId8"/>
      <w:pgSz w:w="11906" w:h="16838"/>
      <w:pgMar w:top="1350"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F5AF" w14:textId="77777777" w:rsidR="0031055F" w:rsidRDefault="0031055F" w:rsidP="00701408">
      <w:pPr>
        <w:spacing w:after="0" w:line="240" w:lineRule="auto"/>
      </w:pPr>
      <w:r>
        <w:separator/>
      </w:r>
    </w:p>
  </w:endnote>
  <w:endnote w:type="continuationSeparator" w:id="0">
    <w:p w14:paraId="317E653B" w14:textId="77777777" w:rsidR="0031055F" w:rsidRDefault="0031055F" w:rsidP="0070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C0A2" w14:textId="77777777" w:rsidR="00701408" w:rsidRDefault="00701408" w:rsidP="00701408">
    <w:pPr>
      <w:pStyle w:val="Pieddepage"/>
      <w:jc w:val="center"/>
      <w:rPr>
        <w:lang w:val="en-US"/>
      </w:rPr>
    </w:pPr>
    <w:proofErr w:type="spellStart"/>
    <w:proofErr w:type="gramStart"/>
    <w:r w:rsidRPr="00512637">
      <w:rPr>
        <w:lang w:val="en-US"/>
      </w:rPr>
      <w:t>Adresse</w:t>
    </w:r>
    <w:proofErr w:type="spellEnd"/>
    <w:r w:rsidRPr="00512637">
      <w:rPr>
        <w:lang w:val="en-US"/>
      </w:rPr>
      <w:t> :</w:t>
    </w:r>
    <w:proofErr w:type="gramEnd"/>
    <w:r w:rsidRPr="00512637">
      <w:rPr>
        <w:lang w:val="en-US"/>
      </w:rPr>
      <w:t xml:space="preserve"> Akar Business Center, B</w:t>
    </w:r>
    <w:r>
      <w:rPr>
        <w:lang w:val="en-US"/>
      </w:rPr>
      <w:t xml:space="preserve">oulevard Fal </w:t>
    </w:r>
    <w:proofErr w:type="spellStart"/>
    <w:r>
      <w:rPr>
        <w:lang w:val="en-US"/>
      </w:rPr>
      <w:t>Oul</w:t>
    </w:r>
    <w:proofErr w:type="spellEnd"/>
    <w:r>
      <w:rPr>
        <w:lang w:val="en-US"/>
      </w:rPr>
      <w:t xml:space="preserve"> </w:t>
    </w:r>
    <w:proofErr w:type="spellStart"/>
    <w:r>
      <w:rPr>
        <w:lang w:val="en-US"/>
      </w:rPr>
      <w:t>Oumeir</w:t>
    </w:r>
    <w:proofErr w:type="spellEnd"/>
    <w:r>
      <w:rPr>
        <w:lang w:val="en-US"/>
      </w:rPr>
      <w:t>, Agdal, Rabat</w:t>
    </w:r>
  </w:p>
  <w:p w14:paraId="3B86CBC9" w14:textId="77777777" w:rsidR="00701408" w:rsidRPr="00512637" w:rsidRDefault="00701408" w:rsidP="00701408">
    <w:pPr>
      <w:pStyle w:val="Pieddepage"/>
      <w:jc w:val="center"/>
      <w:rPr>
        <w:lang w:val="en-US"/>
      </w:rPr>
    </w:pPr>
    <w:r>
      <w:rPr>
        <w:lang w:val="en-US"/>
      </w:rPr>
      <w:t xml:space="preserve">TEL: 0537 77 47 90- </w:t>
    </w:r>
    <w:r w:rsidRPr="00512637">
      <w:rPr>
        <w:lang w:val="en-US"/>
      </w:rPr>
      <w:t>contact@ncsc-ma.org</w:t>
    </w:r>
  </w:p>
  <w:p w14:paraId="4C602454" w14:textId="77777777" w:rsidR="00701408" w:rsidRDefault="007014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006A" w14:textId="77777777" w:rsidR="0031055F" w:rsidRDefault="0031055F" w:rsidP="00701408">
      <w:pPr>
        <w:spacing w:after="0" w:line="240" w:lineRule="auto"/>
      </w:pPr>
      <w:r>
        <w:separator/>
      </w:r>
    </w:p>
  </w:footnote>
  <w:footnote w:type="continuationSeparator" w:id="0">
    <w:p w14:paraId="5068C6F1" w14:textId="77777777" w:rsidR="0031055F" w:rsidRDefault="0031055F" w:rsidP="0070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80D7" w14:textId="0188E664" w:rsidR="00701408" w:rsidRDefault="00701408">
    <w:pPr>
      <w:pStyle w:val="En-tte"/>
    </w:pPr>
    <w:r>
      <w:rPr>
        <w:noProof/>
      </w:rPr>
      <w:drawing>
        <wp:anchor distT="0" distB="0" distL="114300" distR="114300" simplePos="0" relativeHeight="251659264" behindDoc="0" locked="0" layoutInCell="1" allowOverlap="1" wp14:anchorId="4E0C49F2" wp14:editId="26E00644">
          <wp:simplePos x="0" y="0"/>
          <wp:positionH relativeFrom="margin">
            <wp:posOffset>1805940</wp:posOffset>
          </wp:positionH>
          <wp:positionV relativeFrom="paragraph">
            <wp:posOffset>-244475</wp:posOffset>
          </wp:positionV>
          <wp:extent cx="2217865" cy="893985"/>
          <wp:effectExtent l="0" t="0" r="0" b="1905"/>
          <wp:wrapNone/>
          <wp:docPr id="2" name="image6.png" descr="Gold NCSC BOD logo-McQue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Gold NCSC BOD logo-McQueen.tif"/>
                  <pic:cNvPicPr preferRelativeResize="0"/>
                </pic:nvPicPr>
                <pic:blipFill>
                  <a:blip r:embed="rId1"/>
                  <a:srcRect/>
                  <a:stretch>
                    <a:fillRect/>
                  </a:stretch>
                </pic:blipFill>
                <pic:spPr>
                  <a:xfrm>
                    <a:off x="0" y="0"/>
                    <a:ext cx="2217865" cy="893985"/>
                  </a:xfrm>
                  <a:prstGeom prst="rect">
                    <a:avLst/>
                  </a:prstGeom>
                  <a:ln/>
                </pic:spPr>
              </pic:pic>
            </a:graphicData>
          </a:graphic>
          <wp14:sizeRelH relativeFrom="margin">
            <wp14:pctWidth>0</wp14:pctWidth>
          </wp14:sizeRelH>
          <wp14:sizeRelV relativeFrom="margin">
            <wp14:pctHeight>0</wp14:pctHeight>
          </wp14:sizeRelV>
        </wp:anchor>
      </w:drawing>
    </w:r>
  </w:p>
  <w:p w14:paraId="6A4428FB" w14:textId="77777777" w:rsidR="00701408" w:rsidRDefault="0070140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5A"/>
    <w:rsid w:val="000F2D98"/>
    <w:rsid w:val="0031055F"/>
    <w:rsid w:val="004D4C03"/>
    <w:rsid w:val="0064195A"/>
    <w:rsid w:val="00701408"/>
    <w:rsid w:val="00C92D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DA0F"/>
  <w15:docId w15:val="{4530D16C-2CFA-4C29-8E1D-EF722FB3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701408"/>
    <w:pPr>
      <w:tabs>
        <w:tab w:val="center" w:pos="4513"/>
        <w:tab w:val="right" w:pos="9026"/>
      </w:tabs>
      <w:spacing w:after="0" w:line="240" w:lineRule="auto"/>
    </w:pPr>
  </w:style>
  <w:style w:type="character" w:customStyle="1" w:styleId="En-tteCar">
    <w:name w:val="En-tête Car"/>
    <w:basedOn w:val="Policepardfaut"/>
    <w:link w:val="En-tte"/>
    <w:uiPriority w:val="99"/>
    <w:rsid w:val="00701408"/>
  </w:style>
  <w:style w:type="paragraph" w:styleId="Pieddepage">
    <w:name w:val="footer"/>
    <w:basedOn w:val="Normal"/>
    <w:link w:val="PieddepageCar"/>
    <w:uiPriority w:val="99"/>
    <w:unhideWhenUsed/>
    <w:rsid w:val="0070140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4Onh9l+uxAKkphDYsgSoigTA==">CgMxLjA4AHIhMWVSeVJIbDE0NnJGZmVNTld6Mmxyc0tQZjdha2NnVTJz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703</Words>
  <Characters>3869</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NCSC N</dc:creator>
  <cp:lastModifiedBy>Nass Medias</cp:lastModifiedBy>
  <cp:revision>5</cp:revision>
  <dcterms:created xsi:type="dcterms:W3CDTF">2023-10-18T15:08:00Z</dcterms:created>
  <dcterms:modified xsi:type="dcterms:W3CDTF">2023-10-23T14:56:00Z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314a5ee2-6c0b-475e-affa-8e894e49a816</vt:lpwstr>
  </property>
</Properties>
</file>