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F5E0" w14:textId="017953B9" w:rsidR="002C0436" w:rsidRDefault="00F17F40" w:rsidP="00F17F40">
      <w:pPr>
        <w:shd w:val="clear" w:color="auto" w:fill="FFFFFF"/>
        <w:spacing w:after="150" w:line="420" w:lineRule="atLeast"/>
        <w:outlineLvl w:val="3"/>
        <w:rPr>
          <w:rFonts w:ascii="Lato" w:eastAsia="Times New Roman" w:hAnsi="Lato" w:cs="Times New Roman"/>
          <w:b/>
          <w:bCs/>
          <w:i/>
          <w:iCs/>
          <w:color w:val="0074BD"/>
          <w:sz w:val="30"/>
          <w:szCs w:val="30"/>
          <w:lang w:eastAsia="fr-FR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2B379A2" wp14:editId="765E4B52">
            <wp:simplePos x="0" y="0"/>
            <wp:positionH relativeFrom="margin">
              <wp:posOffset>5010150</wp:posOffset>
            </wp:positionH>
            <wp:positionV relativeFrom="paragraph">
              <wp:posOffset>0</wp:posOffset>
            </wp:positionV>
            <wp:extent cx="1148715" cy="951865"/>
            <wp:effectExtent l="0" t="0" r="0" b="635"/>
            <wp:wrapTight wrapText="bothSides">
              <wp:wrapPolygon edited="0">
                <wp:start x="5373" y="0"/>
                <wp:lineTo x="2866" y="1729"/>
                <wp:lineTo x="0" y="5620"/>
                <wp:lineTo x="0" y="15562"/>
                <wp:lineTo x="3582" y="20750"/>
                <wp:lineTo x="5731" y="21182"/>
                <wp:lineTo x="11821" y="21182"/>
                <wp:lineTo x="12896" y="20750"/>
                <wp:lineTo x="17552" y="16859"/>
                <wp:lineTo x="16478" y="15562"/>
                <wp:lineTo x="3582" y="13833"/>
                <wp:lineTo x="18985" y="13833"/>
                <wp:lineTo x="18985" y="7781"/>
                <wp:lineTo x="16836" y="6052"/>
                <wp:lineTo x="17552" y="3026"/>
                <wp:lineTo x="11821" y="0"/>
                <wp:lineTo x="537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ransparente_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F40">
        <w:rPr>
          <w:rFonts w:ascii="Lato" w:eastAsia="Times New Roman" w:hAnsi="Lato" w:cs="Times New Roman"/>
          <w:b/>
          <w:bCs/>
          <w:i/>
          <w:iCs/>
          <w:noProof/>
          <w:color w:val="0074BD"/>
          <w:sz w:val="30"/>
          <w:szCs w:val="30"/>
          <w:lang w:eastAsia="fr-FR"/>
        </w:rPr>
        <w:drawing>
          <wp:inline distT="0" distB="0" distL="0" distR="0" wp14:anchorId="5504054D" wp14:editId="24E325CF">
            <wp:extent cx="1568651" cy="1174750"/>
            <wp:effectExtent l="0" t="0" r="0" b="6350"/>
            <wp:docPr id="1373840191" name="Image 1" descr="Une image contenant Police, logo, Graphiqu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840191" name="Image 1" descr="Une image contenant Police, logo, Graphique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240" cy="118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DD254" w14:textId="48B68FBC" w:rsidR="002C0436" w:rsidRPr="002C0436" w:rsidRDefault="002C0436" w:rsidP="002C0436">
      <w:pPr>
        <w:shd w:val="clear" w:color="auto" w:fill="FFFFFF"/>
        <w:spacing w:after="150" w:line="420" w:lineRule="atLeast"/>
        <w:jc w:val="center"/>
        <w:outlineLvl w:val="3"/>
        <w:rPr>
          <w:rFonts w:ascii="Lato" w:eastAsia="Times New Roman" w:hAnsi="Lato" w:cs="Times New Roman"/>
          <w:color w:val="212121"/>
          <w:sz w:val="30"/>
          <w:szCs w:val="30"/>
          <w:lang w:eastAsia="fr-FR"/>
        </w:rPr>
      </w:pPr>
      <w:r w:rsidRPr="002C0436">
        <w:rPr>
          <w:rFonts w:ascii="Lato" w:eastAsia="Times New Roman" w:hAnsi="Lato" w:cs="Times New Roman"/>
          <w:b/>
          <w:bCs/>
          <w:i/>
          <w:iCs/>
          <w:color w:val="0074BD"/>
          <w:sz w:val="30"/>
          <w:szCs w:val="30"/>
          <w:lang w:eastAsia="fr-FR"/>
        </w:rPr>
        <w:t xml:space="preserve">Lancement de l'appel à projets pour la </w:t>
      </w:r>
      <w:r w:rsidR="00F17F40">
        <w:rPr>
          <w:rFonts w:ascii="Lato" w:eastAsia="Times New Roman" w:hAnsi="Lato" w:cs="Times New Roman"/>
          <w:b/>
          <w:bCs/>
          <w:i/>
          <w:iCs/>
          <w:color w:val="0074BD"/>
          <w:sz w:val="30"/>
          <w:szCs w:val="30"/>
          <w:lang w:eastAsia="fr-FR"/>
        </w:rPr>
        <w:t>troisièm</w:t>
      </w:r>
      <w:r w:rsidRPr="002C0436">
        <w:rPr>
          <w:rFonts w:ascii="Lato" w:eastAsia="Times New Roman" w:hAnsi="Lato" w:cs="Times New Roman"/>
          <w:b/>
          <w:bCs/>
          <w:i/>
          <w:iCs/>
          <w:color w:val="0074BD"/>
          <w:sz w:val="30"/>
          <w:szCs w:val="30"/>
          <w:lang w:eastAsia="fr-FR"/>
        </w:rPr>
        <w:t xml:space="preserve">e édition du Programme </w:t>
      </w:r>
      <w:proofErr w:type="spellStart"/>
      <w:r w:rsidRPr="002C0436">
        <w:rPr>
          <w:rFonts w:ascii="Lato" w:eastAsia="Times New Roman" w:hAnsi="Lato" w:cs="Times New Roman"/>
          <w:b/>
          <w:bCs/>
          <w:i/>
          <w:iCs/>
          <w:color w:val="0074BD"/>
          <w:sz w:val="30"/>
          <w:szCs w:val="30"/>
          <w:lang w:eastAsia="fr-FR"/>
        </w:rPr>
        <w:t>TransCap</w:t>
      </w:r>
      <w:proofErr w:type="spellEnd"/>
      <w:r w:rsidRPr="002C0436">
        <w:rPr>
          <w:rFonts w:ascii="Lato" w:eastAsia="Times New Roman" w:hAnsi="Lato" w:cs="Times New Roman"/>
          <w:b/>
          <w:bCs/>
          <w:i/>
          <w:iCs/>
          <w:color w:val="0074BD"/>
          <w:sz w:val="30"/>
          <w:szCs w:val="30"/>
          <w:lang w:eastAsia="fr-FR"/>
        </w:rPr>
        <w:t xml:space="preserve"> !</w:t>
      </w:r>
    </w:p>
    <w:p w14:paraId="73E611C2" w14:textId="517FE278" w:rsidR="00F17F40" w:rsidRPr="00F17F40" w:rsidRDefault="002C0436" w:rsidP="00F17F40">
      <w:pPr>
        <w:shd w:val="clear" w:color="auto" w:fill="FFFFFF"/>
        <w:spacing w:before="100" w:beforeAutospacing="1" w:after="0" w:line="240" w:lineRule="auto"/>
        <w:jc w:val="both"/>
        <w:rPr>
          <w:rFonts w:ascii="HelveticaNeue" w:hAnsi="HelveticaNeue"/>
          <w:color w:val="404040"/>
        </w:rPr>
      </w:pPr>
      <w:r w:rsidRPr="00F17F40">
        <w:rPr>
          <w:rFonts w:ascii="HelveticaNeue" w:hAnsi="HelveticaNeue"/>
          <w:color w:val="404040"/>
        </w:rPr>
        <w:t>L'UICN-Med lance un appel à projets pour la</w:t>
      </w:r>
      <w:r w:rsidR="00F17F40" w:rsidRPr="00F17F40">
        <w:rPr>
          <w:rFonts w:ascii="HelveticaNeue" w:hAnsi="HelveticaNeue"/>
          <w:color w:val="404040"/>
        </w:rPr>
        <w:t xml:space="preserve"> troisième</w:t>
      </w:r>
      <w:r w:rsidRPr="00F17F40">
        <w:rPr>
          <w:rFonts w:ascii="HelveticaNeue" w:hAnsi="HelveticaNeue"/>
          <w:color w:val="404040"/>
        </w:rPr>
        <w:t xml:space="preserve"> édition du Programme </w:t>
      </w:r>
      <w:proofErr w:type="spellStart"/>
      <w:r w:rsidRPr="00F17F40">
        <w:rPr>
          <w:rFonts w:ascii="HelveticaNeue" w:hAnsi="HelveticaNeue"/>
          <w:color w:val="404040"/>
        </w:rPr>
        <w:t>TransCap</w:t>
      </w:r>
      <w:proofErr w:type="spellEnd"/>
      <w:r w:rsidRPr="00F17F40">
        <w:rPr>
          <w:rFonts w:ascii="HelveticaNeue" w:hAnsi="HelveticaNeue"/>
          <w:color w:val="404040"/>
        </w:rPr>
        <w:t xml:space="preserve">, pour continuer à appuyer de nouvelles organisations de la Société civile des provinces/gouvernorats bordés par la Méditerranéenne au Maroc et en Tunisie. </w:t>
      </w:r>
      <w:r w:rsidR="00F17F40" w:rsidRPr="00F17F40">
        <w:rPr>
          <w:rFonts w:ascii="HelveticaNeue" w:hAnsi="HelveticaNeue"/>
          <w:color w:val="404040"/>
        </w:rPr>
        <w:br/>
      </w:r>
      <w:r w:rsidR="00F17F40" w:rsidRPr="00F17F40">
        <w:rPr>
          <w:rFonts w:ascii="HelveticaNeue" w:hAnsi="HelveticaNeue"/>
          <w:color w:val="404040"/>
        </w:rPr>
        <w:br/>
        <w:t xml:space="preserve">Le </w:t>
      </w:r>
      <w:proofErr w:type="spellStart"/>
      <w:r w:rsidR="00F17F40" w:rsidRPr="00F17F40">
        <w:rPr>
          <w:rFonts w:ascii="HelveticaNeue" w:hAnsi="HelveticaNeue"/>
          <w:color w:val="404040"/>
        </w:rPr>
        <w:t>TransCap</w:t>
      </w:r>
      <w:proofErr w:type="spellEnd"/>
      <w:r w:rsidR="00F17F40" w:rsidRPr="00F17F40">
        <w:rPr>
          <w:rFonts w:ascii="HelveticaNeue" w:hAnsi="HelveticaNeue"/>
          <w:color w:val="404040"/>
        </w:rPr>
        <w:t xml:space="preserve"> 3 octroiera une subvention de maximum 20 000€ à 6 projets de 18 mois pour le développement durable et la gestion des ressources naturelles au bénéfice des populations locales. </w:t>
      </w:r>
    </w:p>
    <w:p w14:paraId="1EE2F016" w14:textId="77777777" w:rsidR="00F17F40" w:rsidRPr="00F17F40" w:rsidRDefault="0096103A" w:rsidP="00F17F40">
      <w:pPr>
        <w:shd w:val="clear" w:color="auto" w:fill="FFFFFF"/>
        <w:spacing w:before="100" w:beforeAutospacing="1" w:after="0" w:line="240" w:lineRule="auto"/>
        <w:jc w:val="both"/>
        <w:rPr>
          <w:rFonts w:ascii="HelveticaNeue" w:hAnsi="HelveticaNeue"/>
          <w:color w:val="404040"/>
        </w:rPr>
      </w:pPr>
      <w:r w:rsidRPr="00F17F40">
        <w:rPr>
          <w:rFonts w:ascii="HelveticaNeue" w:hAnsi="HelveticaNeue"/>
          <w:color w:val="404040"/>
        </w:rPr>
        <w:t xml:space="preserve">Les bénéficiaires de subvention seront les Organisations de la Société Civile (OSC) </w:t>
      </w:r>
      <w:r w:rsidR="00F17F40" w:rsidRPr="00F17F40">
        <w:rPr>
          <w:rFonts w:ascii="HelveticaNeue" w:hAnsi="HelveticaNeue"/>
          <w:color w:val="404040"/>
        </w:rPr>
        <w:t xml:space="preserve">et les coopératives, relevant des zones éligibles et </w:t>
      </w:r>
      <w:r w:rsidRPr="00F17F40">
        <w:rPr>
          <w:rFonts w:ascii="HelveticaNeue" w:hAnsi="HelveticaNeue"/>
          <w:color w:val="404040"/>
        </w:rPr>
        <w:t xml:space="preserve">actives dans le domaine de </w:t>
      </w:r>
      <w:r w:rsidR="00F17F40" w:rsidRPr="00F17F40">
        <w:rPr>
          <w:rFonts w:ascii="HelveticaNeue" w:hAnsi="HelveticaNeue"/>
          <w:color w:val="404040"/>
        </w:rPr>
        <w:t xml:space="preserve">la conservation de </w:t>
      </w:r>
      <w:r w:rsidRPr="00F17F40">
        <w:rPr>
          <w:rFonts w:ascii="HelveticaNeue" w:hAnsi="HelveticaNeue"/>
          <w:color w:val="404040"/>
        </w:rPr>
        <w:t>l'environnement et du développement durable.</w:t>
      </w:r>
    </w:p>
    <w:p w14:paraId="53C130FF" w14:textId="77777777" w:rsidR="00F17F40" w:rsidRPr="00F17F40" w:rsidRDefault="0096103A" w:rsidP="00F17F40">
      <w:pPr>
        <w:shd w:val="clear" w:color="auto" w:fill="FFFFFF"/>
        <w:spacing w:before="100" w:beforeAutospacing="1" w:after="0" w:line="240" w:lineRule="auto"/>
        <w:jc w:val="both"/>
        <w:rPr>
          <w:rFonts w:ascii="HelveticaNeue" w:hAnsi="HelveticaNeue"/>
          <w:color w:val="404040"/>
        </w:rPr>
      </w:pPr>
      <w:r w:rsidRPr="00F17F40">
        <w:rPr>
          <w:rFonts w:ascii="HelveticaNeue" w:hAnsi="HelveticaNeue"/>
          <w:color w:val="404040"/>
        </w:rPr>
        <w:t>Les provinces marocaines concernées sont :</w:t>
      </w:r>
    </w:p>
    <w:p w14:paraId="3DC1D512" w14:textId="2EC196C1" w:rsidR="00EC3DC2" w:rsidRPr="00F17F40" w:rsidRDefault="0096103A" w:rsidP="00F17F4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Neue" w:hAnsi="HelveticaNeue"/>
          <w:color w:val="404040"/>
        </w:rPr>
      </w:pPr>
      <w:r w:rsidRPr="00F17F40">
        <w:rPr>
          <w:rFonts w:ascii="HelveticaNeue" w:hAnsi="HelveticaNeue"/>
          <w:color w:val="404040"/>
        </w:rPr>
        <w:t>Tanger-</w:t>
      </w:r>
      <w:proofErr w:type="spellStart"/>
      <w:r w:rsidRPr="00F17F40">
        <w:rPr>
          <w:rFonts w:ascii="HelveticaNeue" w:hAnsi="HelveticaNeue"/>
          <w:color w:val="404040"/>
        </w:rPr>
        <w:t>Assilah</w:t>
      </w:r>
      <w:proofErr w:type="spellEnd"/>
      <w:r w:rsidRPr="00F17F40">
        <w:rPr>
          <w:rFonts w:ascii="HelveticaNeue" w:hAnsi="HelveticaNeue"/>
          <w:color w:val="404040"/>
        </w:rPr>
        <w:t xml:space="preserve"> ; </w:t>
      </w:r>
      <w:proofErr w:type="spellStart"/>
      <w:r w:rsidRPr="00F17F40">
        <w:rPr>
          <w:rFonts w:ascii="HelveticaNeue" w:hAnsi="HelveticaNeue"/>
          <w:color w:val="404040"/>
        </w:rPr>
        <w:t>Fahs-Anjra</w:t>
      </w:r>
      <w:proofErr w:type="spellEnd"/>
      <w:r w:rsidRPr="00F17F40">
        <w:rPr>
          <w:rFonts w:ascii="HelveticaNeue" w:hAnsi="HelveticaNeue"/>
          <w:color w:val="404040"/>
        </w:rPr>
        <w:t> ; Préfecture de M'</w:t>
      </w:r>
      <w:proofErr w:type="spellStart"/>
      <w:r w:rsidRPr="00F17F40">
        <w:rPr>
          <w:rFonts w:ascii="HelveticaNeue" w:hAnsi="HelveticaNeue"/>
          <w:color w:val="404040"/>
        </w:rPr>
        <w:t>diq-Fnideq</w:t>
      </w:r>
      <w:proofErr w:type="spellEnd"/>
      <w:r w:rsidRPr="00F17F40">
        <w:rPr>
          <w:rFonts w:ascii="HelveticaNeue" w:hAnsi="HelveticaNeue"/>
          <w:color w:val="404040"/>
        </w:rPr>
        <w:t xml:space="preserve"> ; Tétouan ; Chefchaouen ; Al Hoceima ; </w:t>
      </w:r>
      <w:proofErr w:type="spellStart"/>
      <w:r w:rsidRPr="00F17F40">
        <w:rPr>
          <w:rFonts w:ascii="HelveticaNeue" w:hAnsi="HelveticaNeue"/>
          <w:color w:val="404040"/>
        </w:rPr>
        <w:t>Driouch</w:t>
      </w:r>
      <w:proofErr w:type="spellEnd"/>
      <w:r w:rsidRPr="00F17F40">
        <w:rPr>
          <w:rFonts w:ascii="HelveticaNeue" w:hAnsi="HelveticaNeue"/>
          <w:color w:val="404040"/>
        </w:rPr>
        <w:t xml:space="preserve"> et Nador.</w:t>
      </w:r>
    </w:p>
    <w:p w14:paraId="34212BCF" w14:textId="77777777" w:rsidR="00F17F40" w:rsidRDefault="00F17F40" w:rsidP="00F17F40">
      <w:pPr>
        <w:pStyle w:val="selectionshareable"/>
        <w:shd w:val="clear" w:color="auto" w:fill="FFFFFF"/>
        <w:spacing w:before="240" w:beforeAutospacing="0"/>
        <w:jc w:val="both"/>
        <w:rPr>
          <w:rFonts w:ascii="HelveticaNeue" w:hAnsi="HelveticaNeue"/>
          <w:color w:val="404040"/>
          <w:sz w:val="22"/>
          <w:szCs w:val="22"/>
        </w:rPr>
      </w:pPr>
      <w:r>
        <w:rPr>
          <w:rFonts w:ascii="HelveticaNeue" w:hAnsi="HelveticaNeue"/>
          <w:b/>
          <w:bCs/>
          <w:color w:val="404040"/>
          <w:sz w:val="22"/>
          <w:szCs w:val="22"/>
        </w:rPr>
        <w:t>Procédure de l’appel</w:t>
      </w:r>
      <w:r>
        <w:rPr>
          <w:rFonts w:ascii="HelveticaNeue" w:hAnsi="HelveticaNeue"/>
          <w:color w:val="404040"/>
          <w:sz w:val="22"/>
          <w:szCs w:val="22"/>
        </w:rPr>
        <w:t> :</w:t>
      </w:r>
    </w:p>
    <w:p w14:paraId="779A6379" w14:textId="77777777" w:rsidR="00F17F40" w:rsidRDefault="00F17F40" w:rsidP="00F17F4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Neue" w:hAnsi="HelveticaNeue"/>
          <w:color w:val="404040"/>
        </w:rPr>
      </w:pPr>
      <w:r>
        <w:rPr>
          <w:rFonts w:ascii="HelveticaNeue" w:hAnsi="HelveticaNeue"/>
          <w:color w:val="404040"/>
        </w:rPr>
        <w:t>Les documents de l'appel doivent être </w:t>
      </w:r>
      <w:r>
        <w:rPr>
          <w:rStyle w:val="lev"/>
          <w:rFonts w:ascii="HelveticaNeue" w:hAnsi="HelveticaNeue"/>
          <w:color w:val="404040"/>
        </w:rPr>
        <w:t>téléchargés sur le site web</w:t>
      </w:r>
    </w:p>
    <w:p w14:paraId="78E71526" w14:textId="77777777" w:rsidR="00F17F40" w:rsidRDefault="00F17F40" w:rsidP="00F17F4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Neue" w:hAnsi="HelveticaNeue"/>
          <w:color w:val="404040"/>
        </w:rPr>
      </w:pPr>
      <w:r>
        <w:rPr>
          <w:rFonts w:ascii="HelveticaNeue" w:hAnsi="HelveticaNeue"/>
          <w:color w:val="404040"/>
        </w:rPr>
        <w:t>Un </w:t>
      </w:r>
      <w:r>
        <w:rPr>
          <w:rStyle w:val="lev"/>
          <w:rFonts w:ascii="HelveticaNeue" w:hAnsi="HelveticaNeue"/>
          <w:color w:val="404040"/>
        </w:rPr>
        <w:t>webinaire d’information </w:t>
      </w:r>
      <w:r>
        <w:rPr>
          <w:rFonts w:ascii="HelveticaNeue" w:hAnsi="HelveticaNeue"/>
          <w:color w:val="404040"/>
        </w:rPr>
        <w:t>sur l’appel et la description du programme sera organisé</w:t>
      </w:r>
      <w:r>
        <w:rPr>
          <w:rStyle w:val="lev"/>
          <w:rFonts w:ascii="HelveticaNeue" w:hAnsi="HelveticaNeue"/>
          <w:color w:val="404040"/>
        </w:rPr>
        <w:t> le 20 août à 10:00 CET</w:t>
      </w:r>
      <w:r>
        <w:rPr>
          <w:rFonts w:ascii="HelveticaNeue" w:hAnsi="HelveticaNeue"/>
          <w:color w:val="404040"/>
        </w:rPr>
        <w:t>, pour s’inscrire </w:t>
      </w:r>
      <w:hyperlink r:id="rId7" w:tgtFrame="_blank" w:history="1">
        <w:r>
          <w:rPr>
            <w:rStyle w:val="Lienhypertexte"/>
            <w:rFonts w:ascii="HelveticaNeue" w:hAnsi="HelveticaNeue"/>
            <w:b/>
            <w:bCs/>
            <w:color w:val="003478"/>
            <w:u w:val="none"/>
          </w:rPr>
          <w:t>CLIQUEZ ICI</w:t>
        </w:r>
      </w:hyperlink>
    </w:p>
    <w:p w14:paraId="54234286" w14:textId="77777777" w:rsidR="00F17F40" w:rsidRDefault="00F17F40" w:rsidP="00F17F4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Neue" w:hAnsi="HelveticaNeue"/>
          <w:color w:val="404040"/>
        </w:rPr>
      </w:pPr>
      <w:r>
        <w:rPr>
          <w:rStyle w:val="lev"/>
          <w:rFonts w:ascii="HelveticaNeue" w:hAnsi="HelveticaNeue"/>
          <w:color w:val="404040"/>
        </w:rPr>
        <w:t>Une séance d'accompagnement</w:t>
      </w:r>
      <w:r>
        <w:rPr>
          <w:rFonts w:ascii="HelveticaNeue" w:hAnsi="HelveticaNeue"/>
          <w:color w:val="404040"/>
        </w:rPr>
        <w:t> à l’élaboration de la proposition du projet </w:t>
      </w:r>
      <w:r>
        <w:rPr>
          <w:rStyle w:val="lev"/>
          <w:rFonts w:ascii="HelveticaNeue" w:hAnsi="HelveticaNeue"/>
          <w:color w:val="404040"/>
        </w:rPr>
        <w:t>sera organisée début septembre</w:t>
      </w:r>
      <w:r>
        <w:rPr>
          <w:rFonts w:ascii="HelveticaNeue" w:hAnsi="HelveticaNeue"/>
          <w:color w:val="404040"/>
        </w:rPr>
        <w:t>. Cette séance sera en format hybride présentiel-en ligne pour 10 organisations par pays. </w:t>
      </w:r>
      <w:r>
        <w:rPr>
          <w:rStyle w:val="lev"/>
          <w:rFonts w:ascii="HelveticaNeue" w:hAnsi="HelveticaNeue"/>
          <w:color w:val="404040"/>
        </w:rPr>
        <w:t>La sélection </w:t>
      </w:r>
      <w:r>
        <w:rPr>
          <w:rFonts w:ascii="HelveticaNeue" w:hAnsi="HelveticaNeue"/>
          <w:color w:val="404040"/>
        </w:rPr>
        <w:t>des organisations participantes se fera sur la base d’une </w:t>
      </w:r>
      <w:r>
        <w:rPr>
          <w:rStyle w:val="lev"/>
          <w:rFonts w:ascii="HelveticaNeue" w:hAnsi="HelveticaNeue"/>
          <w:color w:val="404040"/>
        </w:rPr>
        <w:t>fiche résumé du projet</w:t>
      </w:r>
    </w:p>
    <w:p w14:paraId="67BBE1EC" w14:textId="77777777" w:rsidR="00F17F40" w:rsidRDefault="00F17F40" w:rsidP="00F17F4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Neue" w:hAnsi="HelveticaNeue"/>
          <w:color w:val="404040"/>
        </w:rPr>
      </w:pPr>
      <w:proofErr w:type="gramStart"/>
      <w:r>
        <w:rPr>
          <w:rFonts w:ascii="HelveticaNeue" w:hAnsi="HelveticaNeue"/>
          <w:color w:val="404040"/>
        </w:rPr>
        <w:t>La fiche résumé</w:t>
      </w:r>
      <w:proofErr w:type="gramEnd"/>
      <w:r>
        <w:rPr>
          <w:rFonts w:ascii="HelveticaNeue" w:hAnsi="HelveticaNeue"/>
          <w:color w:val="404040"/>
        </w:rPr>
        <w:t xml:space="preserve"> pour la séance d’accompagnement doit être </w:t>
      </w:r>
      <w:r>
        <w:rPr>
          <w:rStyle w:val="lev"/>
          <w:rFonts w:ascii="HelveticaNeue" w:hAnsi="HelveticaNeue"/>
          <w:color w:val="404040"/>
        </w:rPr>
        <w:t>envoyée pour le 27 août à minuit CET par email</w:t>
      </w:r>
      <w:r>
        <w:rPr>
          <w:rFonts w:ascii="HelveticaNeue" w:hAnsi="HelveticaNeue"/>
          <w:color w:val="404040"/>
        </w:rPr>
        <w:t> :</w:t>
      </w:r>
    </w:p>
    <w:p w14:paraId="2DD7135F" w14:textId="77777777" w:rsidR="00F17F40" w:rsidRDefault="00F17F40" w:rsidP="00F17F40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Neue" w:hAnsi="HelveticaNeue"/>
          <w:color w:val="404040"/>
        </w:rPr>
      </w:pPr>
      <w:r>
        <w:rPr>
          <w:rFonts w:ascii="HelveticaNeue" w:hAnsi="HelveticaNeue"/>
          <w:color w:val="404040"/>
        </w:rPr>
        <w:t>Maroc : </w:t>
      </w:r>
      <w:hyperlink r:id="rId8" w:history="1">
        <w:r>
          <w:rPr>
            <w:rStyle w:val="Lienhypertexte"/>
            <w:rFonts w:ascii="HelveticaNeue" w:hAnsi="HelveticaNeue"/>
            <w:b/>
            <w:bCs/>
            <w:color w:val="003478"/>
            <w:u w:val="none"/>
          </w:rPr>
          <w:t>transcap.maroc@gmail.com</w:t>
        </w:r>
      </w:hyperlink>
    </w:p>
    <w:p w14:paraId="69E41C5A" w14:textId="77777777" w:rsidR="00F17F40" w:rsidRDefault="00F17F40" w:rsidP="00F17F4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Neue" w:hAnsi="HelveticaNeue"/>
          <w:color w:val="404040"/>
        </w:rPr>
      </w:pPr>
      <w:r>
        <w:rPr>
          <w:rStyle w:val="lev"/>
          <w:rFonts w:ascii="HelveticaNeue" w:hAnsi="HelveticaNeue"/>
          <w:color w:val="404040"/>
        </w:rPr>
        <w:t>Les propositions finales</w:t>
      </w:r>
      <w:r>
        <w:rPr>
          <w:rFonts w:ascii="HelveticaNeue" w:hAnsi="HelveticaNeue"/>
          <w:color w:val="404040"/>
        </w:rPr>
        <w:t> doivent être soumises </w:t>
      </w:r>
      <w:r>
        <w:rPr>
          <w:rStyle w:val="lev"/>
          <w:rFonts w:ascii="HelveticaNeue" w:hAnsi="HelveticaNeue"/>
          <w:color w:val="404040"/>
        </w:rPr>
        <w:t xml:space="preserve">par </w:t>
      </w:r>
      <w:proofErr w:type="gramStart"/>
      <w:r>
        <w:rPr>
          <w:rStyle w:val="lev"/>
          <w:rFonts w:ascii="HelveticaNeue" w:hAnsi="HelveticaNeue"/>
          <w:color w:val="404040"/>
        </w:rPr>
        <w:t>email</w:t>
      </w:r>
      <w:proofErr w:type="gramEnd"/>
      <w:r>
        <w:rPr>
          <w:rStyle w:val="lev"/>
          <w:rFonts w:ascii="HelveticaNeue" w:hAnsi="HelveticaNeue"/>
          <w:color w:val="404040"/>
        </w:rPr>
        <w:t xml:space="preserve"> avant le 20 septembre</w:t>
      </w:r>
      <w:r>
        <w:rPr>
          <w:rFonts w:ascii="HelveticaNeue" w:hAnsi="HelveticaNeue"/>
          <w:color w:val="404040"/>
        </w:rPr>
        <w:t> à</w:t>
      </w:r>
    </w:p>
    <w:p w14:paraId="6F209DCE" w14:textId="77777777" w:rsidR="00F17F40" w:rsidRDefault="00F17F40" w:rsidP="00F17F40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Neue" w:hAnsi="HelveticaNeue"/>
          <w:color w:val="404040"/>
        </w:rPr>
      </w:pPr>
      <w:hyperlink r:id="rId9" w:history="1">
        <w:r>
          <w:rPr>
            <w:rStyle w:val="Lienhypertexte"/>
            <w:rFonts w:ascii="HelveticaNeue" w:hAnsi="HelveticaNeue"/>
            <w:b/>
            <w:bCs/>
            <w:color w:val="003478"/>
            <w:u w:val="none"/>
          </w:rPr>
          <w:t>uicnmed@iucn.org</w:t>
        </w:r>
      </w:hyperlink>
      <w:r>
        <w:rPr>
          <w:rStyle w:val="lev"/>
          <w:rFonts w:ascii="HelveticaNeue" w:hAnsi="HelveticaNeue"/>
          <w:color w:val="404040"/>
        </w:rPr>
        <w:t>, </w:t>
      </w:r>
      <w:r>
        <w:rPr>
          <w:rFonts w:ascii="HelveticaNeue" w:hAnsi="HelveticaNeue"/>
          <w:b/>
          <w:bCs/>
          <w:color w:val="404040"/>
        </w:rPr>
        <w:t>cc : </w:t>
      </w:r>
      <w:hyperlink r:id="rId10" w:history="1">
        <w:r>
          <w:rPr>
            <w:rStyle w:val="Lienhypertexte"/>
            <w:rFonts w:ascii="HelveticaNeue" w:hAnsi="HelveticaNeue"/>
            <w:b/>
            <w:bCs/>
            <w:color w:val="003478"/>
            <w:u w:val="none"/>
          </w:rPr>
          <w:t>helene.willem@iucn.org</w:t>
        </w:r>
      </w:hyperlink>
    </w:p>
    <w:p w14:paraId="4AC33A3D" w14:textId="77777777" w:rsidR="006E0639" w:rsidRDefault="006E0639" w:rsidP="00F17F4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</w:pPr>
    </w:p>
    <w:p w14:paraId="72E943E1" w14:textId="20B614C1" w:rsidR="00F17F40" w:rsidRPr="00F17F40" w:rsidRDefault="0096103A" w:rsidP="00F17F40">
      <w:pPr>
        <w:shd w:val="clear" w:color="auto" w:fill="FFFFFF"/>
        <w:spacing w:before="100" w:beforeAutospacing="1" w:line="240" w:lineRule="auto"/>
        <w:jc w:val="both"/>
        <w:rPr>
          <w:rFonts w:ascii="HelveticaNeue" w:hAnsi="HelveticaNeue"/>
          <w:color w:val="404040"/>
        </w:rPr>
      </w:pPr>
      <w:r w:rsidRPr="00F17F40">
        <w:rPr>
          <w:rFonts w:ascii="HelveticaNeue" w:hAnsi="HelveticaNeue"/>
          <w:color w:val="404040"/>
        </w:rPr>
        <w:t xml:space="preserve">Les informations détaillées </w:t>
      </w:r>
      <w:r w:rsidR="006E0639" w:rsidRPr="00F17F40">
        <w:rPr>
          <w:rFonts w:ascii="HelveticaNeue" w:hAnsi="HelveticaNeue"/>
          <w:color w:val="404040"/>
        </w:rPr>
        <w:t xml:space="preserve">et les documents de l’appel à projet </w:t>
      </w:r>
      <w:r w:rsidRPr="00F17F40">
        <w:rPr>
          <w:rFonts w:ascii="HelveticaNeue" w:hAnsi="HelveticaNeue"/>
          <w:color w:val="404040"/>
        </w:rPr>
        <w:t>sont disponibles sur le lien :</w:t>
      </w:r>
    </w:p>
    <w:p w14:paraId="52F95306" w14:textId="25AE09AE" w:rsidR="00F17F40" w:rsidRDefault="00F17F40" w:rsidP="00F17F4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</w:pPr>
      <w:hyperlink r:id="rId11" w:history="1">
        <w:r w:rsidRPr="00F25532">
          <w:rPr>
            <w:rStyle w:val="Lienhypertexte"/>
            <w:rFonts w:ascii="Roboto" w:eastAsia="Times New Roman" w:hAnsi="Roboto" w:cs="Times New Roman"/>
            <w:sz w:val="24"/>
            <w:szCs w:val="24"/>
            <w:lang w:eastAsia="fr-FR"/>
          </w:rPr>
          <w:t>https://www.iucn.org/fr/fr/our-work/region/mediterranean/appel-projets-pour-la-3eme-edition-du-programme-transcap</w:t>
        </w:r>
      </w:hyperlink>
    </w:p>
    <w:p w14:paraId="2DABB471" w14:textId="77777777" w:rsidR="00F17F40" w:rsidRPr="0096103A" w:rsidRDefault="00F17F40" w:rsidP="00F17F4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12121"/>
          <w:sz w:val="24"/>
          <w:szCs w:val="24"/>
          <w:lang w:eastAsia="fr-FR"/>
        </w:rPr>
      </w:pPr>
    </w:p>
    <w:sectPr w:rsidR="00F17F40" w:rsidRPr="0096103A" w:rsidSect="002C0436">
      <w:pgSz w:w="12240" w:h="15840"/>
      <w:pgMar w:top="709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07A9"/>
    <w:multiLevelType w:val="multilevel"/>
    <w:tmpl w:val="FAE6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E03AD"/>
    <w:multiLevelType w:val="multilevel"/>
    <w:tmpl w:val="60DE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2704064">
    <w:abstractNumId w:val="1"/>
  </w:num>
  <w:num w:numId="2" w16cid:durableId="170420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36"/>
    <w:rsid w:val="002C0436"/>
    <w:rsid w:val="002E264D"/>
    <w:rsid w:val="006E0639"/>
    <w:rsid w:val="0096103A"/>
    <w:rsid w:val="00EC3DC2"/>
    <w:rsid w:val="00F1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F788"/>
  <w15:chartTrackingRefBased/>
  <w15:docId w15:val="{49A476CC-E7E5-4BBD-A3D3-1D677A97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C04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C043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C04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96103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0639"/>
    <w:rPr>
      <w:color w:val="605E5C"/>
      <w:shd w:val="clear" w:color="auto" w:fill="E1DFDD"/>
    </w:rPr>
  </w:style>
  <w:style w:type="paragraph" w:customStyle="1" w:styleId="selectionshareable">
    <w:name w:val="selectionshareable"/>
    <w:basedOn w:val="Normal"/>
    <w:rsid w:val="00F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cap.maro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ucn-org.zoom.us/meeting/register/tZ0scu2sqDMjHdQZiqBBI9ChH5kdqzHzbu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iucn.org/fr/fr/our-work/region/mediterranean/appel-projets-pour-la-3eme-edition-du-programme-transcap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helene.willem@iuc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icnmed@iuc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Yassine SAKKA</dc:creator>
  <cp:keywords/>
  <dc:description/>
  <cp:lastModifiedBy>Yassine SAKKA</cp:lastModifiedBy>
  <cp:revision>2</cp:revision>
  <dcterms:created xsi:type="dcterms:W3CDTF">2023-08-11T11:03:00Z</dcterms:created>
  <dcterms:modified xsi:type="dcterms:W3CDTF">2023-08-11T11:03:00Z</dcterms:modified>
</cp:coreProperties>
</file>