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Rule="auto"/>
        <w:jc w:val="center"/>
        <w:rPr>
          <w:rFonts w:ascii="Times New Roman" w:cs="Times New Roman" w:eastAsia="Times New Roman" w:hAnsi="Times New Roman"/>
          <w:color w:val="202124"/>
          <w:sz w:val="36"/>
          <w:szCs w:val="36"/>
        </w:rPr>
      </w:pPr>
      <w:r w:rsidDel="00000000" w:rsidR="00000000" w:rsidRPr="00000000">
        <w:rPr>
          <w:rFonts w:ascii="Times New Roman" w:cs="Times New Roman" w:eastAsia="Times New Roman" w:hAnsi="Times New Roman"/>
          <w:color w:val="202124"/>
          <w:sz w:val="36"/>
          <w:szCs w:val="36"/>
          <w:rtl w:val="0"/>
        </w:rPr>
        <w:t xml:space="preserve">Termes de référence </w:t>
      </w:r>
    </w:p>
    <w:p w:rsidR="00000000" w:rsidDel="00000000" w:rsidP="00000000" w:rsidRDefault="00000000" w:rsidRPr="00000000" w14:paraId="00000002">
      <w:pPr>
        <w:shd w:fill="ffffff" w:val="clear"/>
        <w:spacing w:after="0" w:lineRule="auto"/>
        <w:jc w:val="center"/>
        <w:rPr>
          <w:rFonts w:ascii="Times New Roman" w:cs="Times New Roman" w:eastAsia="Times New Roman" w:hAnsi="Times New Roman"/>
          <w:color w:val="202124"/>
          <w:sz w:val="36"/>
          <w:szCs w:val="36"/>
        </w:rPr>
      </w:pPr>
      <w:r w:rsidDel="00000000" w:rsidR="00000000" w:rsidRPr="00000000">
        <w:rPr>
          <w:rFonts w:ascii="Times New Roman" w:cs="Times New Roman" w:eastAsia="Times New Roman" w:hAnsi="Times New Roman"/>
          <w:b w:val="1"/>
          <w:color w:val="202124"/>
          <w:sz w:val="36"/>
          <w:szCs w:val="36"/>
          <w:rtl w:val="0"/>
        </w:rPr>
        <w:t xml:space="preserve">Recrutement d’un expert “programme d’enseignement sur les </w:t>
      </w:r>
      <w:r w:rsidDel="00000000" w:rsidR="00000000" w:rsidRPr="00000000">
        <w:rPr>
          <w:rFonts w:ascii="Times New Roman" w:cs="Times New Roman" w:eastAsia="Times New Roman" w:hAnsi="Times New Roman"/>
          <w:b w:val="1"/>
          <w:color w:val="202124"/>
          <w:sz w:val="36"/>
          <w:szCs w:val="36"/>
          <w:rtl w:val="0"/>
        </w:rPr>
        <w:t xml:space="preserve">APAC</w:t>
      </w:r>
      <w:r w:rsidDel="00000000" w:rsidR="00000000" w:rsidRPr="00000000">
        <w:rPr>
          <w:rFonts w:ascii="Times New Roman" w:cs="Times New Roman" w:eastAsia="Times New Roman" w:hAnsi="Times New Roman"/>
          <w:b w:val="1"/>
          <w:color w:val="202124"/>
          <w:sz w:val="36"/>
          <w:szCs w:val="36"/>
          <w:rtl w:val="0"/>
        </w:rPr>
        <w:t xml:space="preserve">”</w:t>
      </w:r>
      <w:r w:rsidDel="00000000" w:rsidR="00000000" w:rsidRPr="00000000">
        <w:rPr>
          <w:rFonts w:ascii="Times New Roman" w:cs="Times New Roman" w:eastAsia="Times New Roman" w:hAnsi="Times New Roman"/>
          <w:color w:val="202124"/>
          <w:sz w:val="36"/>
          <w:szCs w:val="36"/>
          <w:rtl w:val="0"/>
        </w:rPr>
        <w:t xml:space="preserve"> </w:t>
      </w:r>
    </w:p>
    <w:p w:rsidR="00000000" w:rsidDel="00000000" w:rsidP="00000000" w:rsidRDefault="00000000" w:rsidRPr="00000000" w14:paraId="00000003">
      <w:pPr>
        <w:shd w:fill="ffffff" w:val="clear"/>
        <w:spacing w:after="0" w:lineRule="auto"/>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b w:val="1"/>
          <w:color w:val="202124"/>
          <w:sz w:val="24"/>
          <w:szCs w:val="24"/>
          <w:u w:val="single"/>
          <w:rtl w:val="0"/>
        </w:rPr>
        <w:t xml:space="preserve">Projet :</w:t>
      </w:r>
      <w:r w:rsidDel="00000000" w:rsidR="00000000" w:rsidRPr="00000000">
        <w:rPr>
          <w:rFonts w:ascii="Times New Roman" w:cs="Times New Roman" w:eastAsia="Times New Roman" w:hAnsi="Times New Roman"/>
          <w:color w:val="202124"/>
          <w:sz w:val="24"/>
          <w:szCs w:val="24"/>
          <w:rtl w:val="0"/>
        </w:rPr>
        <w:t xml:space="preserve"> </w:t>
      </w:r>
      <w:r w:rsidDel="00000000" w:rsidR="00000000" w:rsidRPr="00000000">
        <w:rPr>
          <w:rFonts w:ascii="Times New Roman" w:cs="Times New Roman" w:eastAsia="Times New Roman" w:hAnsi="Times New Roman"/>
          <w:b w:val="1"/>
          <w:color w:val="202124"/>
          <w:sz w:val="24"/>
          <w:szCs w:val="24"/>
          <w:rtl w:val="0"/>
        </w:rPr>
        <w:t xml:space="preserve">“Projet de renforcement de la stratégie d’action du Consortium APAC Maroc à l’aide de leviers d’action multiples engageant un plaidoyer efficace, la création du registre national des APAC* et le développement de la politique “Genre” du réseau.” (*Aires et Territoire du Patrimoine Communautaire)</w:t>
      </w:r>
      <w:r w:rsidDel="00000000" w:rsidR="00000000" w:rsidRPr="00000000">
        <w:rPr>
          <w:rtl w:val="0"/>
        </w:rPr>
      </w:r>
    </w:p>
    <w:p w:rsidR="00000000" w:rsidDel="00000000" w:rsidP="00000000" w:rsidRDefault="00000000" w:rsidRPr="00000000" w14:paraId="00000004">
      <w:pPr>
        <w:shd w:fill="ffffff" w:val="clear"/>
        <w:spacing w:after="0" w:lineRule="auto"/>
        <w:jc w:val="both"/>
        <w:rPr>
          <w:rFonts w:ascii="Times New Roman" w:cs="Times New Roman" w:eastAsia="Times New Roman" w:hAnsi="Times New Roman"/>
          <w:b w:val="1"/>
          <w:color w:val="202124"/>
        </w:rPr>
      </w:pPr>
      <w:r w:rsidDel="00000000" w:rsidR="00000000" w:rsidRPr="00000000">
        <w:rPr>
          <w:rtl w:val="0"/>
        </w:rPr>
      </w:r>
    </w:p>
    <w:p w:rsidR="00000000" w:rsidDel="00000000" w:rsidP="00000000" w:rsidRDefault="00000000" w:rsidRPr="00000000" w14:paraId="00000005">
      <w:pPr>
        <w:shd w:fill="ffffff" w:val="clear"/>
        <w:spacing w:after="0" w:lineRule="auto"/>
        <w:jc w:val="both"/>
        <w:rPr>
          <w:rFonts w:ascii="Times New Roman" w:cs="Times New Roman" w:eastAsia="Times New Roman" w:hAnsi="Times New Roman"/>
          <w:color w:val="202124"/>
          <w:u w:val="single"/>
        </w:rPr>
      </w:pPr>
      <w:r w:rsidDel="00000000" w:rsidR="00000000" w:rsidRPr="00000000">
        <w:rPr>
          <w:rFonts w:ascii="Times New Roman" w:cs="Times New Roman" w:eastAsia="Times New Roman" w:hAnsi="Times New Roman"/>
          <w:b w:val="1"/>
          <w:color w:val="202124"/>
          <w:rtl w:val="0"/>
        </w:rPr>
        <w:t xml:space="preserve">Lieux :</w:t>
      </w:r>
      <w:r w:rsidDel="00000000" w:rsidR="00000000" w:rsidRPr="00000000">
        <w:rPr>
          <w:rFonts w:ascii="Times New Roman" w:cs="Times New Roman" w:eastAsia="Times New Roman" w:hAnsi="Times New Roman"/>
          <w:color w:val="202124"/>
          <w:rtl w:val="0"/>
        </w:rPr>
        <w:t xml:space="preserve"> </w:t>
      </w:r>
      <w:r w:rsidDel="00000000" w:rsidR="00000000" w:rsidRPr="00000000">
        <w:rPr>
          <w:rFonts w:ascii="Times New Roman" w:cs="Times New Roman" w:eastAsia="Times New Roman" w:hAnsi="Times New Roman"/>
          <w:color w:val="202124"/>
          <w:u w:val="single"/>
          <w:rtl w:val="0"/>
        </w:rPr>
        <w:t xml:space="preserve">À distance </w:t>
      </w:r>
    </w:p>
    <w:p w:rsidR="00000000" w:rsidDel="00000000" w:rsidP="00000000" w:rsidRDefault="00000000" w:rsidRPr="00000000" w14:paraId="00000006">
      <w:pPr>
        <w:shd w:fill="ffffff" w:val="clear"/>
        <w:spacing w:after="0" w:lineRule="auto"/>
        <w:jc w:val="both"/>
        <w:rPr>
          <w:rFonts w:ascii="Times New Roman" w:cs="Times New Roman" w:eastAsia="Times New Roman" w:hAnsi="Times New Roman"/>
          <w:color w:val="202124"/>
          <w:highlight w:val="yellow"/>
        </w:rPr>
      </w:pPr>
      <w:r w:rsidDel="00000000" w:rsidR="00000000" w:rsidRPr="00000000">
        <w:rPr>
          <w:rFonts w:ascii="Times New Roman" w:cs="Times New Roman" w:eastAsia="Times New Roman" w:hAnsi="Times New Roman"/>
          <w:b w:val="1"/>
          <w:color w:val="202124"/>
          <w:rtl w:val="0"/>
        </w:rPr>
        <w:t xml:space="preserve">Date limite de candidature </w:t>
      </w:r>
      <w:r w:rsidDel="00000000" w:rsidR="00000000" w:rsidRPr="00000000">
        <w:rPr>
          <w:rFonts w:ascii="Times New Roman" w:cs="Times New Roman" w:eastAsia="Times New Roman" w:hAnsi="Times New Roman"/>
          <w:color w:val="202124"/>
          <w:rtl w:val="0"/>
        </w:rPr>
        <w:t xml:space="preserve">: le </w:t>
      </w:r>
      <w:r w:rsidDel="00000000" w:rsidR="00000000" w:rsidRPr="00000000">
        <w:rPr>
          <w:rFonts w:ascii="Times New Roman" w:cs="Times New Roman" w:eastAsia="Times New Roman" w:hAnsi="Times New Roman"/>
          <w:rtl w:val="0"/>
        </w:rPr>
        <w:t xml:space="preserve">30 juillet 2023</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Thématiques de projet :</w:t>
      </w:r>
      <w:r w:rsidDel="00000000" w:rsidR="00000000" w:rsidRPr="00000000">
        <w:rPr>
          <w:rFonts w:ascii="Times New Roman" w:cs="Times New Roman" w:eastAsia="Times New Roman" w:hAnsi="Times New Roman"/>
          <w:rtl w:val="0"/>
        </w:rPr>
        <w:t xml:space="preserve"> Biodiversité, pratiques traditionnelles, aires protégées, communautés, genre </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Type de contrat :</w:t>
      </w:r>
      <w:r w:rsidDel="00000000" w:rsidR="00000000" w:rsidRPr="00000000">
        <w:rPr>
          <w:rFonts w:ascii="Times New Roman" w:cs="Times New Roman" w:eastAsia="Times New Roman" w:hAnsi="Times New Roman"/>
          <w:rtl w:val="0"/>
        </w:rPr>
        <w:t xml:space="preserve"> Contrat consultant </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Langues requises </w:t>
      </w:r>
      <w:r w:rsidDel="00000000" w:rsidR="00000000" w:rsidRPr="00000000">
        <w:rPr>
          <w:rFonts w:ascii="Times New Roman" w:cs="Times New Roman" w:eastAsia="Times New Roman" w:hAnsi="Times New Roman"/>
          <w:rtl w:val="0"/>
        </w:rPr>
        <w:t xml:space="preserve">: Arabe, Amazigh et Français </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Date de commencement :</w:t>
      </w:r>
      <w:r w:rsidDel="00000000" w:rsidR="00000000" w:rsidRPr="00000000">
        <w:rPr>
          <w:rFonts w:ascii="Times New Roman" w:cs="Times New Roman" w:eastAsia="Times New Roman" w:hAnsi="Times New Roman"/>
          <w:rtl w:val="0"/>
        </w:rPr>
        <w:t xml:space="preserve"> 1er août (date à laquelle le candidat sélectionné doit commencer)</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Durée prévue de la consultation </w:t>
      </w:r>
      <w:r w:rsidDel="00000000" w:rsidR="00000000" w:rsidRPr="00000000">
        <w:rPr>
          <w:rFonts w:ascii="Times New Roman" w:cs="Times New Roman" w:eastAsia="Times New Roman" w:hAnsi="Times New Roman"/>
          <w:rtl w:val="0"/>
        </w:rPr>
        <w:t xml:space="preserve">: 2  mois</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Structure émettrice : AESVT-Maroc </w:t>
      </w:r>
    </w:p>
    <w:p w:rsidR="00000000" w:rsidDel="00000000" w:rsidP="00000000" w:rsidRDefault="00000000" w:rsidRPr="00000000" w14:paraId="0000000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L’association des Enseignants des Sciences de la Vie et de la Terre au Maroc (AESVT-Maroc) est une association à but non lucratif. Elle a été créée en 1994 et est constituée d’un réseau de 40 sections régionales (couverture de presque tout le territoire national). L’AESVT-Maroc vise à contribuer à l’édification d’une société moderne et solidaire conformément aux principes et valeurs du développement durable. L’association agit dans le domaine du développement durable et de l’éducation. Grâce à l’engagement des membres, l’association a pu se construire une notoriété au niveau national. Elle compte à son actif des actions concrètes diverses en faveur de l'environnement (Education à la transition écologique ; éducation à l’environnement et au Développement durable ; réalisation de projets de gestion durable des écosystèmes et de ressources naturelles dans des zones fragiles ; promotion d'approches novatrices de gestion des territoires, etc.). </w:t>
      </w:r>
    </w:p>
    <w:p w:rsidR="00000000" w:rsidDel="00000000" w:rsidP="00000000" w:rsidRDefault="00000000" w:rsidRPr="00000000" w14:paraId="0000000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Pour plus d’informations, veuillez consulter notre site web : </w:t>
      </w:r>
      <w:hyperlink r:id="rId7">
        <w:r w:rsidDel="00000000" w:rsidR="00000000" w:rsidRPr="00000000">
          <w:rPr>
            <w:rFonts w:ascii="Times New Roman" w:cs="Times New Roman" w:eastAsia="Times New Roman" w:hAnsi="Times New Roman"/>
            <w:color w:val="1155cc"/>
            <w:u w:val="single"/>
            <w:rtl w:val="0"/>
          </w:rPr>
          <w:t xml:space="preserve">http://www.aesvtmaroc.org</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0">
      <w:pPr>
        <w:numPr>
          <w:ilvl w:val="0"/>
          <w:numId w:val="9"/>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Contexte </w:t>
      </w:r>
    </w:p>
    <w:p w:rsidR="00000000" w:rsidDel="00000000" w:rsidP="00000000" w:rsidRDefault="00000000" w:rsidRPr="00000000" w14:paraId="0000001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Selon l’Union Internationale pour la Conservation de la Nature (UICN), les APAC sont “des écosystèmes naturels et/ou modifiés porteurs de valeurs significatives de biodiversité, de bénéfices écologiques et de valeurs culturelles, volontairement conservés par les communautés locales, tant sédentaires que nomades, par l’intermédiaire du droit coutumier ou tout autre moyen efficace”.</w:t>
      </w:r>
    </w:p>
    <w:p w:rsidR="00000000" w:rsidDel="00000000" w:rsidP="00000000" w:rsidRDefault="00000000" w:rsidRPr="00000000" w14:paraId="0000001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présent projet, financé par le PMF FEM et mis en œuvre par l’AESVT -Maroc, s’inscrit dans la continuité du projet de “Mise en place et d’opérationnalisation du consortium APAC national” également soutenu par le PMF FEM dans le cadre de la phase I de la GSI, dont il se veut consolider les acquis en agissant sur des leviers d’action à même d'accroître la visibilité et l'efficacité d'intervention du réseau national. Depuis 2016, les ONG du réseau ont progressivement renforcé leur coopération et engagement envers les APAC et ont pu construire des alliances avec de nombreuses communautés au Maroc. A ce jour, grâce à l’appui de la GSI et du PMF FEM, le CAM a contribué à identifier une diversité de types d’APAC, leur a fourni l’occasion de prendre conscience de la valeur patrimoniale de leur APAC, de les documenter, d’analyser et d’apporter des réponses aux menaces auxquelles elles font face. Les ONG membres du CAM ont également développé, testé sur le terrain de solides méthodologies de recherche -action en matière de préservation et maintien des paysage culturels impliquant étroitement les communautés locales (Global Diversity Foundation/ MBLA), d'outils innovants de revitalisation et d’adaptation des institutions coutumières de gouvernance et des règles de gestion associées pour intégrer les femmes et les jeunes. Enfin ces ONG ont pu concevoir des initiatives de soutien aux moyens de vie durable et à la conservation et mobiliser individuellement des appuis financiers pour des projets portant sur la conservation et l’utilisation durable de la biodiversité, la réhabilitation de la santé des écosystèmes. </w:t>
      </w:r>
    </w:p>
    <w:p w:rsidR="00000000" w:rsidDel="00000000" w:rsidP="00000000" w:rsidRDefault="00000000" w:rsidRPr="00000000" w14:paraId="0000001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dépit de ces accomplissements, le CAM est encore loin de sa vision et de ses ambitions consistant à inscrire fermement ces territoires volontairement conservés par les communautés locales dans l’agenda politique de la conservation, de la lutte contre les effets du changement climatique et du développement durable au niveau national, notamment à travers les stratégies suivantes : plan national d’adaptation, Stratégie nationale de la diversité biologiques et des services écosystémiques ; stratégie nationale de développement durable ; plan national de l’eau d’ici 2050, et orientations des politiques publiques d’aménagement du territoire ; etc. </w:t>
      </w:r>
    </w:p>
    <w:p w:rsidR="00000000" w:rsidDel="00000000" w:rsidP="00000000" w:rsidRDefault="00000000" w:rsidRPr="00000000" w14:paraId="0000001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 projet prendra également en compte la politique de genre qui est fondamentale pour le CAM afin d’aider à ajouter la conscience des spécificités de chaque genre, de mettre en lumière les principaux défis auxquels les femmes des communautés APAC sont confrontées, de reconnaître leur potentiel et contribution clé dans la conservation. </w:t>
      </w:r>
    </w:p>
    <w:p w:rsidR="00000000" w:rsidDel="00000000" w:rsidP="00000000" w:rsidRDefault="00000000" w:rsidRPr="00000000" w14:paraId="00000015">
      <w:pPr>
        <w:numPr>
          <w:ilvl w:val="0"/>
          <w:numId w:val="9"/>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Résultats du projet </w:t>
      </w:r>
    </w:p>
    <w:p w:rsidR="00000000" w:rsidDel="00000000" w:rsidP="00000000" w:rsidRDefault="00000000" w:rsidRPr="00000000" w14:paraId="0000001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projet adoptera une approche participative, partenariale, inclusive, axée sur l’égalité des genres. Pour cela, il se propose d’agir au niveau de 6 résultats : </w:t>
      </w:r>
    </w:p>
    <w:p w:rsidR="00000000" w:rsidDel="00000000" w:rsidP="00000000" w:rsidRDefault="00000000" w:rsidRPr="00000000" w14:paraId="00000017">
      <w:pPr>
        <w:numPr>
          <w:ilvl w:val="0"/>
          <w:numId w:val="4"/>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Résultat 1 :</w:t>
      </w:r>
      <w:r w:rsidDel="00000000" w:rsidR="00000000" w:rsidRPr="00000000">
        <w:rPr>
          <w:rFonts w:ascii="Times New Roman" w:cs="Times New Roman" w:eastAsia="Times New Roman" w:hAnsi="Times New Roman"/>
          <w:rtl w:val="0"/>
        </w:rPr>
        <w:t xml:space="preserve"> Le CAM dispose d’une stratégie de plaidoyer, d’un système intégré de communication sur les APAC et obtient des résultats tangibles en matière d’influence des politiques en faveur de la reconnaissance et du soutien aux APAC</w:t>
      </w:r>
    </w:p>
    <w:p w:rsidR="00000000" w:rsidDel="00000000" w:rsidP="00000000" w:rsidRDefault="00000000" w:rsidRPr="00000000" w14:paraId="00000018">
      <w:pPr>
        <w:numPr>
          <w:ilvl w:val="0"/>
          <w:numId w:val="4"/>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Résultat 2 :</w:t>
      </w:r>
      <w:r w:rsidDel="00000000" w:rsidR="00000000" w:rsidRPr="00000000">
        <w:rPr>
          <w:rFonts w:ascii="Times New Roman" w:cs="Times New Roman" w:eastAsia="Times New Roman" w:hAnsi="Times New Roman"/>
          <w:rtl w:val="0"/>
        </w:rPr>
        <w:t xml:space="preserve"> Le registre national des APAC est créé selon les termes de référence fourni par Protected Planet et au moins une quinzaine d’APAC enregistrées dan la base de données nationales et au moins 8 dans la base de données internationales (ICCA Registry) : </w:t>
      </w:r>
    </w:p>
    <w:p w:rsidR="00000000" w:rsidDel="00000000" w:rsidP="00000000" w:rsidRDefault="00000000" w:rsidRPr="00000000" w14:paraId="00000019">
      <w:pPr>
        <w:numPr>
          <w:ilvl w:val="0"/>
          <w:numId w:val="4"/>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Résultat 3 :</w:t>
      </w:r>
      <w:r w:rsidDel="00000000" w:rsidR="00000000" w:rsidRPr="00000000">
        <w:rPr>
          <w:rFonts w:ascii="Times New Roman" w:cs="Times New Roman" w:eastAsia="Times New Roman" w:hAnsi="Times New Roman"/>
          <w:rtl w:val="0"/>
        </w:rPr>
        <w:t xml:space="preserve"> Un rapport scientifique compilant les résultats de la recherche participative, les évaluations de </w:t>
      </w:r>
      <w:r w:rsidDel="00000000" w:rsidR="00000000" w:rsidRPr="00000000">
        <w:rPr>
          <w:rFonts w:ascii="Times New Roman" w:cs="Times New Roman" w:eastAsia="Times New Roman" w:hAnsi="Times New Roman"/>
          <w:rtl w:val="0"/>
        </w:rPr>
        <w:t xml:space="preserve">la sécurité et de la résilience des APAC </w:t>
      </w:r>
      <w:r w:rsidDel="00000000" w:rsidR="00000000" w:rsidRPr="00000000">
        <w:rPr>
          <w:rFonts w:ascii="Times New Roman" w:cs="Times New Roman" w:eastAsia="Times New Roman" w:hAnsi="Times New Roman"/>
          <w:rtl w:val="0"/>
        </w:rPr>
        <w:t xml:space="preserve">est produit tous les trois ans et partagé avec les acteurs institutionnels pertinents ; </w:t>
      </w:r>
    </w:p>
    <w:p w:rsidR="00000000" w:rsidDel="00000000" w:rsidP="00000000" w:rsidRDefault="00000000" w:rsidRPr="00000000" w14:paraId="0000001A">
      <w:pPr>
        <w:numPr>
          <w:ilvl w:val="0"/>
          <w:numId w:val="4"/>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Résultat 4 :</w:t>
      </w:r>
      <w:r w:rsidDel="00000000" w:rsidR="00000000" w:rsidRPr="00000000">
        <w:rPr>
          <w:rFonts w:ascii="Times New Roman" w:cs="Times New Roman" w:eastAsia="Times New Roman" w:hAnsi="Times New Roman"/>
          <w:rtl w:val="0"/>
        </w:rPr>
        <w:t xml:space="preserve"> La politique Genre du CAM est disponible et une évaluation participative de l’incidence des projets portés par les ONG membres du CAM sur les conditions de vie des femmes et des hommes est entreprise ; </w:t>
      </w:r>
    </w:p>
    <w:p w:rsidR="00000000" w:rsidDel="00000000" w:rsidP="00000000" w:rsidRDefault="00000000" w:rsidRPr="00000000" w14:paraId="0000001B">
      <w:pPr>
        <w:numPr>
          <w:ilvl w:val="0"/>
          <w:numId w:val="4"/>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Résultat 5 : </w:t>
      </w:r>
      <w:r w:rsidDel="00000000" w:rsidR="00000000" w:rsidRPr="00000000">
        <w:rPr>
          <w:rFonts w:ascii="Times New Roman" w:cs="Times New Roman" w:eastAsia="Times New Roman" w:hAnsi="Times New Roman"/>
          <w:rtl w:val="0"/>
        </w:rPr>
        <w:t xml:space="preserve">Un diagnostic des conditions des femmes au sein des sociétés APAC nomades et semi-nomades et des connaissances de femmes en médecine traditionnelle est élaboré sur la base de concertations à la base avec les femmes de tous âges ; </w:t>
      </w:r>
    </w:p>
    <w:p w:rsidR="00000000" w:rsidDel="00000000" w:rsidP="00000000" w:rsidRDefault="00000000" w:rsidRPr="00000000" w14:paraId="0000001C">
      <w:pPr>
        <w:numPr>
          <w:ilvl w:val="0"/>
          <w:numId w:val="4"/>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Résultat 6 :</w:t>
      </w:r>
      <w:r w:rsidDel="00000000" w:rsidR="00000000" w:rsidRPr="00000000">
        <w:rPr>
          <w:rFonts w:ascii="Times New Roman" w:cs="Times New Roman" w:eastAsia="Times New Roman" w:hAnsi="Times New Roman"/>
          <w:rtl w:val="0"/>
        </w:rPr>
        <w:t xml:space="preserve"> Un concours “Women’s Green Business Initiatives”/ WGBI en faveur de la promotion d'entreprises vertes gérées par les jeunes femmes rurales des APAC est lancée par le CAM et bénéficie du soutien financier de partenaires institutionnels, de la coopération internationale et via le mécanisme de crowdfunding</w:t>
      </w:r>
    </w:p>
    <w:p w:rsidR="00000000" w:rsidDel="00000000" w:rsidP="00000000" w:rsidRDefault="00000000" w:rsidRPr="00000000" w14:paraId="0000001D">
      <w:pPr>
        <w:ind w:left="0" w:firstLine="0"/>
        <w:jc w:val="both"/>
        <w:rPr/>
      </w:pPr>
      <w:r w:rsidDel="00000000" w:rsidR="00000000" w:rsidRPr="00000000">
        <w:rPr>
          <w:rFonts w:ascii="Times New Roman" w:cs="Times New Roman" w:eastAsia="Times New Roman" w:hAnsi="Times New Roman"/>
          <w:rtl w:val="0"/>
        </w:rPr>
        <w:t xml:space="preserve">La présente prestation s’inscrit dans la réalisation du résultat 3 à travers l</w:t>
      </w:r>
      <w:r w:rsidDel="00000000" w:rsidR="00000000" w:rsidRPr="00000000">
        <w:rPr>
          <w:rFonts w:ascii="Times New Roman" w:cs="Times New Roman" w:eastAsia="Times New Roman" w:hAnsi="Times New Roman"/>
          <w:u w:val="single"/>
          <w:rtl w:val="0"/>
        </w:rPr>
        <w:t xml:space="preserve">’Initiation de la réflexion sur l’incorporation des APAC dans les programmes d’enseignement APAC</w:t>
      </w:r>
      <w:r w:rsidDel="00000000" w:rsidR="00000000" w:rsidRPr="00000000">
        <w:rPr>
          <w:rFonts w:ascii="Times New Roman" w:cs="Times New Roman" w:eastAsia="Times New Roman" w:hAnsi="Times New Roman"/>
          <w:rtl w:val="0"/>
        </w:rPr>
        <w:t xml:space="preserve"> avec la proposition d’un programme incluant des outils à destination </w:t>
      </w:r>
      <w:r w:rsidDel="00000000" w:rsidR="00000000" w:rsidRPr="00000000">
        <w:rPr>
          <w:rFonts w:ascii="Times New Roman" w:cs="Times New Roman" w:eastAsia="Times New Roman" w:hAnsi="Times New Roman"/>
          <w:color w:val="202124"/>
          <w:rtl w:val="0"/>
        </w:rPr>
        <w:t xml:space="preserve">des gestionnaires d’aires protégées APAC.</w:t>
      </w:r>
      <w:r w:rsidDel="00000000" w:rsidR="00000000" w:rsidRPr="00000000">
        <w:rPr>
          <w:rFonts w:ascii="Times New Roman" w:cs="Times New Roman" w:eastAsia="Times New Roman" w:hAnsi="Times New Roman"/>
          <w:u w:val="single"/>
          <w:rtl w:val="0"/>
        </w:rPr>
        <w:t xml:space="preserve"> </w:t>
      </w:r>
      <w:r w:rsidDel="00000000" w:rsidR="00000000" w:rsidRPr="00000000">
        <w:rPr>
          <w:rtl w:val="0"/>
        </w:rPr>
      </w:r>
    </w:p>
    <w:p w:rsidR="00000000" w:rsidDel="00000000" w:rsidP="00000000" w:rsidRDefault="00000000" w:rsidRPr="00000000" w14:paraId="0000001E">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numPr>
          <w:ilvl w:val="0"/>
          <w:numId w:val="9"/>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Objectif de la </w:t>
      </w:r>
      <w:r w:rsidDel="00000000" w:rsidR="00000000" w:rsidRPr="00000000">
        <w:rPr>
          <w:rFonts w:ascii="Times New Roman" w:cs="Times New Roman" w:eastAsia="Times New Roman" w:hAnsi="Times New Roman"/>
          <w:b w:val="1"/>
          <w:sz w:val="24"/>
          <w:szCs w:val="24"/>
          <w:rtl w:val="0"/>
        </w:rPr>
        <w:t xml:space="preserve">consultation</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0">
      <w:pPr>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rtl w:val="0"/>
        </w:rPr>
        <w:t xml:space="preserve">L’expert programme </w:t>
      </w:r>
      <w:r w:rsidDel="00000000" w:rsidR="00000000" w:rsidRPr="00000000">
        <w:rPr>
          <w:rFonts w:ascii="Times New Roman" w:cs="Times New Roman" w:eastAsia="Times New Roman" w:hAnsi="Times New Roman"/>
          <w:color w:val="202124"/>
          <w:rtl w:val="0"/>
        </w:rPr>
        <w:t xml:space="preserve">d’enseignement sur les APAC aura pour mission : </w:t>
      </w:r>
    </w:p>
    <w:p w:rsidR="00000000" w:rsidDel="00000000" w:rsidP="00000000" w:rsidRDefault="00000000" w:rsidRPr="00000000" w14:paraId="00000021">
      <w:pPr>
        <w:numPr>
          <w:ilvl w:val="0"/>
          <w:numId w:val="6"/>
        </w:numPr>
        <w:spacing w:after="0" w:lineRule="auto"/>
        <w:ind w:left="720" w:hanging="360"/>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Animation de deux ateliers à distance afin d’initier les réflexions sur l’intégration des APAC dans le programme d’enseignement </w:t>
      </w:r>
    </w:p>
    <w:p w:rsidR="00000000" w:rsidDel="00000000" w:rsidP="00000000" w:rsidRDefault="00000000" w:rsidRPr="00000000" w14:paraId="00000022">
      <w:pPr>
        <w:numPr>
          <w:ilvl w:val="0"/>
          <w:numId w:val="6"/>
        </w:numPr>
        <w:spacing w:after="0" w:lineRule="auto"/>
        <w:ind w:left="720" w:hanging="360"/>
        <w:jc w:val="both"/>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Proposition d’un programme d’enseignement APAC et d’outils émanant d’une réflexion plurielle avec les membres du consortium et des parties prenantes </w:t>
      </w:r>
    </w:p>
    <w:p w:rsidR="00000000" w:rsidDel="00000000" w:rsidP="00000000" w:rsidRDefault="00000000" w:rsidRPr="00000000" w14:paraId="00000023">
      <w:pPr>
        <w:ind w:left="0" w:firstLine="0"/>
        <w:jc w:val="both"/>
        <w:rPr>
          <w:rFonts w:ascii="Times New Roman" w:cs="Times New Roman" w:eastAsia="Times New Roman" w:hAnsi="Times New Roman"/>
          <w:color w:val="202124"/>
        </w:rPr>
      </w:pP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color w:val="202124"/>
        </w:rPr>
      </w:pPr>
      <w:r w:rsidDel="00000000" w:rsidR="00000000" w:rsidRPr="00000000">
        <w:rPr>
          <w:rtl w:val="0"/>
        </w:rPr>
      </w:r>
    </w:p>
    <w:p w:rsidR="00000000" w:rsidDel="00000000" w:rsidP="00000000" w:rsidRDefault="00000000" w:rsidRPr="00000000" w14:paraId="00000025">
      <w:pPr>
        <w:numPr>
          <w:ilvl w:val="0"/>
          <w:numId w:val="9"/>
        </w:numPr>
        <w:ind w:left="720" w:hanging="360"/>
        <w:rPr>
          <w:rFonts w:ascii="Times New Roman" w:cs="Times New Roman" w:eastAsia="Times New Roman" w:hAnsi="Times New Roman"/>
          <w:b w:val="1"/>
          <w:color w:val="202124"/>
          <w:sz w:val="24"/>
          <w:szCs w:val="24"/>
        </w:rPr>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17" w:top="2505" w:left="1417" w:right="1417" w:header="708" w:footer="708"/>
          <w:pgNumType w:start="1"/>
        </w:sectPr>
      </w:pPr>
      <w:r w:rsidDel="00000000" w:rsidR="00000000" w:rsidRPr="00000000">
        <w:rPr>
          <w:rFonts w:ascii="Times New Roman" w:cs="Times New Roman" w:eastAsia="Times New Roman" w:hAnsi="Times New Roman"/>
          <w:b w:val="1"/>
          <w:color w:val="202124"/>
          <w:sz w:val="24"/>
          <w:szCs w:val="24"/>
          <w:rtl w:val="0"/>
        </w:rPr>
        <w:t xml:space="preserve">Mission de l’expert (Activités, Tâches, Livrables, H/J</w:t>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tbl>
      <w:tblPr>
        <w:tblStyle w:val="Table1"/>
        <w:tblW w:w="90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45"/>
        <w:gridCol w:w="2655"/>
        <w:gridCol w:w="645"/>
        <w:tblGridChange w:id="0">
          <w:tblGrid>
            <w:gridCol w:w="5745"/>
            <w:gridCol w:w="2655"/>
            <w:gridCol w:w="645"/>
          </w:tblGrid>
        </w:tblGridChange>
      </w:tblGrid>
      <w:tr>
        <w:trPr>
          <w:cantSplit w:val="0"/>
          <w:trHeight w:val="433" w:hRule="atLeast"/>
          <w:tblHeader w:val="0"/>
        </w:trPr>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202124"/>
                <w:rtl w:val="0"/>
              </w:rPr>
              <w:t xml:space="preserve">Activités </w:t>
            </w:r>
            <w:r w:rsidDel="00000000" w:rsidR="00000000" w:rsidRPr="00000000">
              <w:rPr>
                <w:rtl w:val="0"/>
              </w:rPr>
            </w:r>
          </w:p>
        </w:tc>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8">
            <w:pPr>
              <w:ind w:right="-366"/>
              <w:rPr>
                <w:rFonts w:ascii="Times New Roman" w:cs="Times New Roman" w:eastAsia="Times New Roman" w:hAnsi="Times New Roman"/>
              </w:rPr>
            </w:pPr>
            <w:r w:rsidDel="00000000" w:rsidR="00000000" w:rsidRPr="00000000">
              <w:rPr>
                <w:rFonts w:ascii="Times New Roman" w:cs="Times New Roman" w:eastAsia="Times New Roman" w:hAnsi="Times New Roman"/>
                <w:color w:val="202124"/>
                <w:rtl w:val="0"/>
              </w:rPr>
              <w:t xml:space="preserve">Livrables </w:t>
            </w:r>
            <w:r w:rsidDel="00000000" w:rsidR="00000000" w:rsidRPr="00000000">
              <w:rPr>
                <w:rtl w:val="0"/>
              </w:rPr>
            </w:r>
          </w:p>
        </w:tc>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202124"/>
                <w:rtl w:val="0"/>
              </w:rPr>
              <w:t xml:space="preserve">H/J</w:t>
            </w:r>
            <w:r w:rsidDel="00000000" w:rsidR="00000000" w:rsidRPr="00000000">
              <w:rPr>
                <w:rtl w:val="0"/>
              </w:rPr>
            </w:r>
          </w:p>
        </w:tc>
      </w:tr>
      <w:tr>
        <w:trPr>
          <w:cantSplit w:val="0"/>
          <w:tblHeader w:val="0"/>
        </w:trPr>
        <w:tc>
          <w:tcPr>
            <w:tcBorders>
              <w:left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A">
            <w:pPr>
              <w:ind w:right="-366"/>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Atelier de réflexion sur l’intégration des APAC dans le programme d’enseignement</w:t>
            </w:r>
          </w:p>
          <w:p w:rsidR="00000000" w:rsidDel="00000000" w:rsidP="00000000" w:rsidRDefault="00000000" w:rsidRPr="00000000" w14:paraId="0000002B">
            <w:pPr>
              <w:ind w:right="-366"/>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Elaboration d’un programme d’enseignement APAC et d’outils</w:t>
            </w:r>
          </w:p>
          <w:p w:rsidR="00000000" w:rsidDel="00000000" w:rsidP="00000000" w:rsidRDefault="00000000" w:rsidRPr="00000000" w14:paraId="0000002C">
            <w:pPr>
              <w:ind w:right="-366"/>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à destination des gestionnaires d’aires protégées APAC</w:t>
            </w:r>
          </w:p>
          <w:p w:rsidR="00000000" w:rsidDel="00000000" w:rsidP="00000000" w:rsidRDefault="00000000" w:rsidRPr="00000000" w14:paraId="0000002D">
            <w:pPr>
              <w:ind w:right="-366"/>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Atelier de présentation des livrables </w:t>
            </w:r>
          </w:p>
        </w:tc>
        <w:tc>
          <w:tcPr>
            <w:tcBorders>
              <w:left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E">
            <w:pPr>
              <w:ind w:right="-366"/>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Rapport des ateliers</w:t>
            </w:r>
          </w:p>
          <w:p w:rsidR="00000000" w:rsidDel="00000000" w:rsidP="00000000" w:rsidRDefault="00000000" w:rsidRPr="00000000" w14:paraId="0000002F">
            <w:pPr>
              <w:ind w:right="-366"/>
              <w:rPr>
                <w:rFonts w:ascii="Times New Roman" w:cs="Times New Roman" w:eastAsia="Times New Roman" w:hAnsi="Times New Roman"/>
                <w:color w:val="202124"/>
              </w:rPr>
            </w:pPr>
            <w:r w:rsidDel="00000000" w:rsidR="00000000" w:rsidRPr="00000000">
              <w:rPr>
                <w:rFonts w:ascii="Times New Roman" w:cs="Times New Roman" w:eastAsia="Times New Roman" w:hAnsi="Times New Roman"/>
                <w:color w:val="202124"/>
                <w:rtl w:val="0"/>
              </w:rPr>
              <w:t xml:space="preserve">Programme d’enseignement    et Inventaire des outils, sous forme d’une note de position)</w:t>
            </w:r>
          </w:p>
          <w:p w:rsidR="00000000" w:rsidDel="00000000" w:rsidP="00000000" w:rsidRDefault="00000000" w:rsidRPr="00000000" w14:paraId="00000030">
            <w:pPr>
              <w:ind w:right="-366"/>
              <w:rPr>
                <w:rFonts w:ascii="Times New Roman" w:cs="Times New Roman" w:eastAsia="Times New Roman" w:hAnsi="Times New Roman"/>
                <w:color w:val="202124"/>
              </w:rPr>
            </w:pPr>
            <w:r w:rsidDel="00000000" w:rsidR="00000000" w:rsidRPr="00000000">
              <w:rPr>
                <w:rtl w:val="0"/>
              </w:rPr>
            </w:r>
          </w:p>
        </w:tc>
        <w:tc>
          <w:tcPr>
            <w:tcBorders>
              <w:left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202124"/>
                <w:rtl w:val="0"/>
              </w:rPr>
              <w:t xml:space="preserve">3</w:t>
            </w:r>
            <w:r w:rsidDel="00000000" w:rsidR="00000000" w:rsidRPr="00000000">
              <w:rPr>
                <w:rtl w:val="0"/>
              </w:rPr>
            </w:r>
          </w:p>
        </w:tc>
      </w:tr>
    </w:tbl>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Supervision </w:t>
      </w: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L’expert travaillera sous la supervision de la direction de l’AESVT Maroc. </w:t>
      </w:r>
    </w:p>
    <w:p w:rsidR="00000000" w:rsidDel="00000000" w:rsidP="00000000" w:rsidRDefault="00000000" w:rsidRPr="00000000" w14:paraId="00000035">
      <w:pPr>
        <w:numPr>
          <w:ilvl w:val="0"/>
          <w:numId w:val="9"/>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Livrables </w:t>
      </w:r>
    </w:p>
    <w:p w:rsidR="00000000" w:rsidDel="00000000" w:rsidP="00000000" w:rsidRDefault="00000000" w:rsidRPr="00000000" w14:paraId="0000003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 livrables, identifiés précédemment (article IV), devront être livrés en langues française/arabe sous version électronique, permettant ainsi des mises à jour ultérieures. Des restitutions intermédiaires pourront être demandées à l’expert par l’équipe de suivi. </w:t>
      </w:r>
    </w:p>
    <w:p w:rsidR="00000000" w:rsidDel="00000000" w:rsidP="00000000" w:rsidRDefault="00000000" w:rsidRPr="00000000" w14:paraId="00000037">
      <w:pPr>
        <w:numPr>
          <w:ilvl w:val="0"/>
          <w:numId w:val="9"/>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Dates et durée envisagées </w:t>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Lieu de travail : À distance</w:t>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Durée de l’expertise : 2 mois</w:t>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de rendu des livrables : 30 octobre 2023</w:t>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prestation est considérée comme achevée à la validation par l’équipe de suivi. </w:t>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VIII . Profil du consultant </w:t>
      </w:r>
    </w:p>
    <w:p w:rsidR="00000000" w:rsidDel="00000000" w:rsidP="00000000" w:rsidRDefault="00000000" w:rsidRPr="00000000" w14:paraId="0000003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Cette consultation sera conduite par un expert répondant aux critères </w:t>
      </w:r>
      <w:r w:rsidDel="00000000" w:rsidR="00000000" w:rsidRPr="00000000">
        <w:rPr>
          <w:rFonts w:ascii="Times New Roman" w:cs="Times New Roman" w:eastAsia="Times New Roman" w:hAnsi="Times New Roman"/>
          <w:rtl w:val="0"/>
        </w:rPr>
        <w:t xml:space="preserve">suivants</w:t>
      </w:r>
      <w:r w:rsidDel="00000000" w:rsidR="00000000" w:rsidRPr="00000000">
        <w:rPr>
          <w:rFonts w:ascii="Times New Roman" w:cs="Times New Roman" w:eastAsia="Times New Roman" w:hAnsi="Times New Roman"/>
          <w:rtl w:val="0"/>
        </w:rPr>
        <w:t xml:space="preserve"> : </w:t>
      </w:r>
    </w:p>
    <w:p w:rsidR="00000000" w:rsidDel="00000000" w:rsidP="00000000" w:rsidRDefault="00000000" w:rsidRPr="00000000" w14:paraId="0000003F">
      <w:pPr>
        <w:numPr>
          <w:ilvl w:val="0"/>
          <w:numId w:val="10"/>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Une très bonne connaissance des programmes d’enseignement</w:t>
      </w:r>
    </w:p>
    <w:p w:rsidR="00000000" w:rsidDel="00000000" w:rsidP="00000000" w:rsidRDefault="00000000" w:rsidRPr="00000000" w14:paraId="00000040">
      <w:pPr>
        <w:numPr>
          <w:ilvl w:val="0"/>
          <w:numId w:val="10"/>
        </w:numPr>
        <w:spacing w:after="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Une bonne connaissance du référentiel international de classement des  APAC</w:t>
      </w:r>
    </w:p>
    <w:p w:rsidR="00000000" w:rsidDel="00000000" w:rsidP="00000000" w:rsidRDefault="00000000" w:rsidRPr="00000000" w14:paraId="00000041">
      <w:pPr>
        <w:numPr>
          <w:ilvl w:val="0"/>
          <w:numId w:val="7"/>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Une bonne connaissance du développement rural et du contexte rural marocain, des politiques marocaines en matière de développement durable, conservation de la biodiversité et des pratiques traditionnelles </w:t>
      </w:r>
    </w:p>
    <w:p w:rsidR="00000000" w:rsidDel="00000000" w:rsidP="00000000" w:rsidRDefault="00000000" w:rsidRPr="00000000" w14:paraId="00000042">
      <w:pPr>
        <w:numPr>
          <w:ilvl w:val="0"/>
          <w:numId w:val="7"/>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Une bonne connaissance des APAC et aires protégées </w:t>
      </w:r>
    </w:p>
    <w:p w:rsidR="00000000" w:rsidDel="00000000" w:rsidP="00000000" w:rsidRDefault="00000000" w:rsidRPr="00000000" w14:paraId="00000043">
      <w:pPr>
        <w:numPr>
          <w:ilvl w:val="0"/>
          <w:numId w:val="7"/>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 compétences en techniques d’animation d’ateliers à distance</w:t>
      </w:r>
    </w:p>
    <w:p w:rsidR="00000000" w:rsidDel="00000000" w:rsidP="00000000" w:rsidRDefault="00000000" w:rsidRPr="00000000" w14:paraId="00000044">
      <w:pPr>
        <w:numPr>
          <w:ilvl w:val="0"/>
          <w:numId w:val="7"/>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Une expérience professionnelle de 10 ans minimum, une expérience dans l’enseignement et avec les organisme international est souhaitée </w:t>
      </w:r>
    </w:p>
    <w:p w:rsidR="00000000" w:rsidDel="00000000" w:rsidP="00000000" w:rsidRDefault="00000000" w:rsidRPr="00000000" w14:paraId="00000045">
      <w:pPr>
        <w:numPr>
          <w:ilvl w:val="0"/>
          <w:numId w:val="7"/>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Une bonne maîtrise de l’arabe, de l’Amazigh et du français</w:t>
      </w:r>
    </w:p>
    <w:p w:rsidR="00000000" w:rsidDel="00000000" w:rsidP="00000000" w:rsidRDefault="00000000" w:rsidRPr="00000000" w14:paraId="0000004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IX. confidentialité et exigences particulières</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4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est interdit au consultant de révéler à quiconque, sans l’accord préalable de l’équipe de suivi, des informations de toutes sortes recueillies ou évoquées durant sa mission. </w:t>
      </w:r>
    </w:p>
    <w:p w:rsidR="00000000" w:rsidDel="00000000" w:rsidP="00000000" w:rsidRDefault="00000000" w:rsidRPr="00000000" w14:paraId="0000004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L’ensemble des documents produits sera la propriété de l’AESVT - Maroc. </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X</w:t>
      </w:r>
      <w:r w:rsidDel="00000000" w:rsidR="00000000" w:rsidRPr="00000000">
        <w:rPr>
          <w:rFonts w:ascii="Times New Roman" w:cs="Times New Roman" w:eastAsia="Times New Roman" w:hAnsi="Times New Roman"/>
          <w:b w:val="1"/>
          <w:sz w:val="24"/>
          <w:szCs w:val="24"/>
          <w:rtl w:val="0"/>
        </w:rPr>
        <w:t xml:space="preserve">. Dossier de candidature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document de proposition du prestataire devra comprendre [en version électronique] : </w:t>
      </w:r>
    </w:p>
    <w:p w:rsidR="00000000" w:rsidDel="00000000" w:rsidP="00000000" w:rsidRDefault="00000000" w:rsidRPr="00000000" w14:paraId="0000004B">
      <w:pPr>
        <w:numPr>
          <w:ilvl w:val="0"/>
          <w:numId w:val="8"/>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Une offre technique comprenant les présentations suivantes : </w:t>
      </w:r>
    </w:p>
    <w:p w:rsidR="00000000" w:rsidDel="00000000" w:rsidP="00000000" w:rsidRDefault="00000000" w:rsidRPr="00000000" w14:paraId="0000004C">
      <w:pPr>
        <w:numPr>
          <w:ilvl w:val="0"/>
          <w:numId w:val="5"/>
        </w:numPr>
        <w:spacing w:after="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Compréhension de la mission </w:t>
      </w:r>
    </w:p>
    <w:p w:rsidR="00000000" w:rsidDel="00000000" w:rsidP="00000000" w:rsidRDefault="00000000" w:rsidRPr="00000000" w14:paraId="0000004D">
      <w:pPr>
        <w:numPr>
          <w:ilvl w:val="0"/>
          <w:numId w:val="5"/>
        </w:numPr>
        <w:spacing w:after="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Descriptif de la réalisation des différentes tâches [méthodologie, contenue, etc.] </w:t>
      </w:r>
    </w:p>
    <w:p w:rsidR="00000000" w:rsidDel="00000000" w:rsidP="00000000" w:rsidRDefault="00000000" w:rsidRPr="00000000" w14:paraId="0000004E">
      <w:pPr>
        <w:numPr>
          <w:ilvl w:val="0"/>
          <w:numId w:val="5"/>
        </w:numPr>
        <w:spacing w:after="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consultant impliqué [CV à joindre avec référence] </w:t>
      </w:r>
    </w:p>
    <w:p w:rsidR="00000000" w:rsidDel="00000000" w:rsidP="00000000" w:rsidRDefault="00000000" w:rsidRPr="00000000" w14:paraId="0000004F">
      <w:pPr>
        <w:numPr>
          <w:ilvl w:val="0"/>
          <w:numId w:val="2"/>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Une offre financière comprenant les éléments suivants : </w:t>
      </w:r>
    </w:p>
    <w:p w:rsidR="00000000" w:rsidDel="00000000" w:rsidP="00000000" w:rsidRDefault="00000000" w:rsidRPr="00000000" w14:paraId="00000050">
      <w:pPr>
        <w:numPr>
          <w:ilvl w:val="0"/>
          <w:numId w:val="1"/>
        </w:numPr>
        <w:spacing w:after="0" w:lineRule="auto"/>
        <w:ind w:left="155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détail des hommes jours, </w:t>
      </w:r>
    </w:p>
    <w:p w:rsidR="00000000" w:rsidDel="00000000" w:rsidP="00000000" w:rsidRDefault="00000000" w:rsidRPr="00000000" w14:paraId="00000051">
      <w:pPr>
        <w:numPr>
          <w:ilvl w:val="0"/>
          <w:numId w:val="1"/>
        </w:numPr>
        <w:spacing w:after="0" w:lineRule="auto"/>
        <w:ind w:left="155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L’offre inclut également les détails des montants hors taxe et toutes taxes. Une mention spéciale devra être faite en cas d’exemption. </w:t>
      </w:r>
    </w:p>
    <w:p w:rsidR="00000000" w:rsidDel="00000000" w:rsidP="00000000" w:rsidRDefault="00000000" w:rsidRPr="00000000" w14:paraId="00000052">
      <w:pPr>
        <w:numPr>
          <w:ilvl w:val="0"/>
          <w:numId w:val="3"/>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Coordonnées bancaires pour les paiements </w:t>
      </w:r>
    </w:p>
    <w:p w:rsidR="00000000" w:rsidDel="00000000" w:rsidP="00000000" w:rsidRDefault="00000000" w:rsidRPr="00000000" w14:paraId="00000053">
      <w:pPr>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rtl w:val="0"/>
        </w:rPr>
        <w:t xml:space="preserve">Les offres sont à faire parvenir par e-mail au plus tard le 30 juillet 2023 à l’adresse suivante : </w:t>
      </w:r>
      <w:hyperlink r:id="rId14">
        <w:r w:rsidDel="00000000" w:rsidR="00000000" w:rsidRPr="00000000">
          <w:rPr>
            <w:rFonts w:ascii="Times New Roman" w:cs="Times New Roman" w:eastAsia="Times New Roman" w:hAnsi="Times New Roman"/>
            <w:color w:val="1155cc"/>
            <w:highlight w:val="white"/>
            <w:u w:val="single"/>
            <w:rtl w:val="0"/>
          </w:rPr>
          <w:t xml:space="preserve">directionaesvtmaroc@gmail.com</w:t>
        </w:r>
      </w:hyperlink>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0"/>
        </w:rPr>
        <w:t xml:space="preserve">avec la mention sur l’objet du mail : Candidature_Expert programme d</w:t>
      </w:r>
      <w:r w:rsidDel="00000000" w:rsidR="00000000" w:rsidRPr="00000000">
        <w:rPr>
          <w:rFonts w:ascii="Times New Roman" w:cs="Times New Roman" w:eastAsia="Times New Roman" w:hAnsi="Times New Roman"/>
          <w:rtl w:val="0"/>
        </w:rPr>
        <w:t xml:space="preserve">’enseignement sur les APAC </w:t>
      </w: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tl w:val="0"/>
        </w:rPr>
      </w:r>
    </w:p>
    <w:sectPr>
      <w:type w:val="continuous"/>
      <w:pgSz w:h="16838" w:w="11906" w:orient="portrait"/>
      <w:pgMar w:bottom="1417" w:top="2505" w:left="1417" w:right="1417"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ind w:right="36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color w:val="000000"/>
      </w:rPr>
    </w:pPr>
    <w:bookmarkStart w:colFirst="0" w:colLast="0" w:name="_heading=h.gjdgxs" w:id="0"/>
    <w:bookmarkEnd w:id="0"/>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-899793</wp:posOffset>
          </wp:positionH>
          <wp:positionV relativeFrom="paragraph">
            <wp:posOffset>-452117</wp:posOffset>
          </wp:positionV>
          <wp:extent cx="7656313" cy="10691801"/>
          <wp:effectExtent b="0" l="0" r="0" t="0"/>
          <wp:wrapNone/>
          <wp:docPr id="3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656313" cy="10691801"/>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33434"/>
  </w:style>
  <w:style w:type="paragraph" w:styleId="Titre1">
    <w:name w:val="heading 1"/>
    <w:basedOn w:val="Normal"/>
    <w:next w:val="Normal"/>
    <w:uiPriority w:val="9"/>
    <w:qFormat w:val="1"/>
    <w:pPr>
      <w:keepNext w:val="1"/>
      <w:keepLines w:val="1"/>
      <w:spacing w:after="120" w:before="480"/>
      <w:outlineLvl w:val="0"/>
    </w:pPr>
    <w:rPr>
      <w:b w:val="1"/>
      <w:sz w:val="48"/>
      <w:szCs w:val="48"/>
    </w:rPr>
  </w:style>
  <w:style w:type="paragraph" w:styleId="Titre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En-tte">
    <w:name w:val="header"/>
    <w:basedOn w:val="Normal"/>
    <w:link w:val="En-tteCar"/>
    <w:uiPriority w:val="99"/>
    <w:unhideWhenUsed w:val="1"/>
    <w:rsid w:val="00033434"/>
    <w:pPr>
      <w:tabs>
        <w:tab w:val="center" w:pos="4536"/>
        <w:tab w:val="right" w:pos="9072"/>
      </w:tabs>
      <w:spacing w:after="0" w:line="240" w:lineRule="auto"/>
    </w:pPr>
  </w:style>
  <w:style w:type="character" w:styleId="En-tteCar" w:customStyle="1">
    <w:name w:val="En-tête Car"/>
    <w:basedOn w:val="Policepardfaut"/>
    <w:link w:val="En-tte"/>
    <w:uiPriority w:val="99"/>
    <w:rsid w:val="00033434"/>
    <w:rPr>
      <w:rFonts w:ascii="Calibri" w:cs="Calibri" w:eastAsia="Calibri" w:hAnsi="Calibri"/>
      <w:lang w:eastAsia="fr-FR"/>
    </w:rPr>
  </w:style>
  <w:style w:type="paragraph" w:styleId="Pieddepage">
    <w:name w:val="footer"/>
    <w:basedOn w:val="Normal"/>
    <w:link w:val="PieddepageCar"/>
    <w:uiPriority w:val="99"/>
    <w:unhideWhenUsed w:val="1"/>
    <w:rsid w:val="00033434"/>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033434"/>
    <w:rPr>
      <w:rFonts w:ascii="Calibri" w:cs="Calibri" w:eastAsia="Calibri" w:hAnsi="Calibri"/>
      <w:lang w:eastAsia="fr-FR"/>
    </w:rPr>
  </w:style>
  <w:style w:type="paragraph" w:styleId="Paragraphedeliste">
    <w:name w:val="List Paragraph"/>
    <w:basedOn w:val="Normal"/>
    <w:uiPriority w:val="34"/>
    <w:qFormat w:val="1"/>
    <w:rsid w:val="00E446CD"/>
    <w:pPr>
      <w:ind w:left="720"/>
      <w:contextualSpacing w:val="1"/>
    </w:p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unhideWhenUsed w:val="1"/>
    <w:rsid w:val="0046607C"/>
    <w:pPr>
      <w:spacing w:after="100" w:afterAutospacing="1" w:before="100" w:beforeAutospacing="1" w:line="240" w:lineRule="auto"/>
    </w:pPr>
    <w:rPr>
      <w:rFonts w:ascii="Times New Roman" w:cs="Times New Roman" w:eastAsia="Times New Roman" w:hAnsi="Times New Roman"/>
      <w:sz w:val="24"/>
      <w:szCs w:val="24"/>
      <w:lang w:val="fr-MA"/>
    </w:rPr>
  </w:style>
  <w:style w:type="character" w:styleId="lev">
    <w:name w:val="Strong"/>
    <w:basedOn w:val="Policepardfaut"/>
    <w:uiPriority w:val="22"/>
    <w:qFormat w:val="1"/>
    <w:rsid w:val="0046607C"/>
    <w:rPr>
      <w:b w:val="1"/>
      <w:bCs w:val="1"/>
    </w:rPr>
  </w:style>
  <w:style w:type="character" w:styleId="Lienhypertexte">
    <w:name w:val="Hyperlink"/>
    <w:basedOn w:val="Policepardfaut"/>
    <w:uiPriority w:val="99"/>
    <w:semiHidden w:val="1"/>
    <w:unhideWhenUsed w:val="1"/>
    <w:rsid w:val="0046607C"/>
    <w:rPr>
      <w:color w:val="0000ff"/>
      <w:u w:val="single"/>
    </w:rPr>
  </w:style>
  <w:style w:type="table" w:styleId="a" w:customStyle="1">
    <w:basedOn w:val="TableNormal0"/>
    <w:tblPr>
      <w:tblStyleRowBandSize w:val="1"/>
      <w:tblStyleColBandSize w:val="1"/>
      <w:tblCellMar>
        <w:top w:w="100.0" w:type="dxa"/>
        <w:left w:w="100.0" w:type="dxa"/>
        <w:bottom w:w="100.0" w:type="dxa"/>
        <w:right w:w="100.0" w:type="dxa"/>
      </w:tblCellMar>
    </w:tblPr>
  </w:style>
  <w:style w:type="paragraph" w:styleId="Rvision">
    <w:name w:val="Revision"/>
    <w:hidden w:val="1"/>
    <w:uiPriority w:val="99"/>
    <w:semiHidden w:val="1"/>
    <w:rsid w:val="006D5FFD"/>
    <w:pPr>
      <w:spacing w:after="0" w:line="240" w:lineRule="auto"/>
    </w:pPr>
  </w:style>
  <w:style w:type="character" w:styleId="Marquedecommentaire">
    <w:name w:val="annotation reference"/>
    <w:basedOn w:val="Policepardfaut"/>
    <w:uiPriority w:val="99"/>
    <w:semiHidden w:val="1"/>
    <w:unhideWhenUsed w:val="1"/>
    <w:rsid w:val="00E8042F"/>
    <w:rPr>
      <w:sz w:val="16"/>
      <w:szCs w:val="16"/>
    </w:rPr>
  </w:style>
  <w:style w:type="paragraph" w:styleId="Commentaire">
    <w:name w:val="annotation text"/>
    <w:basedOn w:val="Normal"/>
    <w:link w:val="CommentaireCar"/>
    <w:uiPriority w:val="99"/>
    <w:semiHidden w:val="1"/>
    <w:unhideWhenUsed w:val="1"/>
    <w:rsid w:val="00E8042F"/>
    <w:pPr>
      <w:spacing w:line="240" w:lineRule="auto"/>
    </w:pPr>
    <w:rPr>
      <w:sz w:val="20"/>
      <w:szCs w:val="20"/>
    </w:rPr>
  </w:style>
  <w:style w:type="character" w:styleId="CommentaireCar" w:customStyle="1">
    <w:name w:val="Commentaire Car"/>
    <w:basedOn w:val="Policepardfaut"/>
    <w:link w:val="Commentaire"/>
    <w:uiPriority w:val="99"/>
    <w:semiHidden w:val="1"/>
    <w:rsid w:val="00E8042F"/>
    <w:rPr>
      <w:sz w:val="20"/>
      <w:szCs w:val="20"/>
    </w:rPr>
  </w:style>
  <w:style w:type="paragraph" w:styleId="Objetducommentaire">
    <w:name w:val="annotation subject"/>
    <w:basedOn w:val="Commentaire"/>
    <w:next w:val="Commentaire"/>
    <w:link w:val="ObjetducommentaireCar"/>
    <w:uiPriority w:val="99"/>
    <w:semiHidden w:val="1"/>
    <w:unhideWhenUsed w:val="1"/>
    <w:rsid w:val="00E8042F"/>
    <w:rPr>
      <w:b w:val="1"/>
      <w:bCs w:val="1"/>
    </w:rPr>
  </w:style>
  <w:style w:type="character" w:styleId="ObjetducommentaireCar" w:customStyle="1">
    <w:name w:val="Objet du commentaire Car"/>
    <w:basedOn w:val="CommentaireCar"/>
    <w:link w:val="Objetducommentaire"/>
    <w:uiPriority w:val="99"/>
    <w:semiHidden w:val="1"/>
    <w:rsid w:val="00E8042F"/>
    <w:rPr>
      <w:b w:val="1"/>
      <w:bCs w:val="1"/>
      <w:sz w:val="20"/>
      <w:szCs w:val="20"/>
    </w:rPr>
  </w:style>
  <w:style w:type="character" w:styleId="Numrodepage">
    <w:name w:val="page number"/>
    <w:basedOn w:val="Policepardfaut"/>
    <w:uiPriority w:val="99"/>
    <w:semiHidden w:val="1"/>
    <w:unhideWhenUsed w:val="1"/>
    <w:rsid w:val="00BE1E20"/>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14" Type="http://schemas.openxmlformats.org/officeDocument/2006/relationships/hyperlink" Target="mailto:directionaesvtmaroc@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esvtmaroc.or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u8CQZMHWOrIYqAXREDT3LE7eg==">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2023-04-28T10:37:00Z</dcterms:created>
  <dc:creator>user</dc:creator>
</cp:coreProperties>
</file>