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D27C" w14:textId="43936444" w:rsidR="006613B5" w:rsidRDefault="006613B5" w:rsidP="000D4A0F">
      <w:pPr>
        <w:jc w:val="both"/>
        <w:rPr>
          <w:lang w:val="en-US"/>
        </w:rPr>
      </w:pPr>
      <w:r>
        <w:rPr>
          <w:noProof/>
          <w:lang w:val="fr"/>
        </w:rPr>
        <w:drawing>
          <wp:anchor distT="0" distB="0" distL="114300" distR="114300" simplePos="0" relativeHeight="251659264" behindDoc="0" locked="0" layoutInCell="1" allowOverlap="1" wp14:anchorId="315232DC" wp14:editId="7EB6AE22">
            <wp:simplePos x="0" y="0"/>
            <wp:positionH relativeFrom="margin">
              <wp:posOffset>4980238</wp:posOffset>
            </wp:positionH>
            <wp:positionV relativeFrom="margin">
              <wp:posOffset>-364323</wp:posOffset>
            </wp:positionV>
            <wp:extent cx="791845" cy="421640"/>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845" cy="421640"/>
                    </a:xfrm>
                    <a:prstGeom prst="rect">
                      <a:avLst/>
                    </a:prstGeom>
                  </pic:spPr>
                </pic:pic>
              </a:graphicData>
            </a:graphic>
          </wp:anchor>
        </w:drawing>
      </w:r>
      <w:r>
        <w:rPr>
          <w:noProof/>
          <w:lang w:val="fr" w:eastAsia="fr-FR"/>
        </w:rPr>
        <w:drawing>
          <wp:anchor distT="0" distB="0" distL="114300" distR="114300" simplePos="0" relativeHeight="251658240" behindDoc="0" locked="0" layoutInCell="1" allowOverlap="1" wp14:anchorId="075ABDF1" wp14:editId="06CD7FEC">
            <wp:simplePos x="0" y="0"/>
            <wp:positionH relativeFrom="margin">
              <wp:posOffset>2394084</wp:posOffset>
            </wp:positionH>
            <wp:positionV relativeFrom="margin">
              <wp:posOffset>-485140</wp:posOffset>
            </wp:positionV>
            <wp:extent cx="1005205" cy="646430"/>
            <wp:effectExtent l="0" t="0" r="0" b="127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7" cstate="print">
                      <a:extLst>
                        <a:ext uri="{28A0092B-C50C-407E-A947-70E740481C1C}">
                          <a14:useLocalDpi xmlns:a14="http://schemas.microsoft.com/office/drawing/2010/main" val="0"/>
                        </a:ext>
                      </a:extLst>
                    </a:blip>
                    <a:srcRect l="21657" t="8450" r="16982" b="3900"/>
                    <a:stretch/>
                  </pic:blipFill>
                  <pic:spPr bwMode="auto">
                    <a:xfrm>
                      <a:off x="0" y="0"/>
                      <a:ext cx="1005205" cy="64643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64742A">
        <w:rPr>
          <w:noProof/>
          <w:lang w:val="fr" w:eastAsia="fr-FR"/>
        </w:rPr>
        <w:drawing>
          <wp:anchor distT="0" distB="0" distL="114300" distR="114300" simplePos="0" relativeHeight="251660288" behindDoc="0" locked="0" layoutInCell="1" allowOverlap="1" wp14:anchorId="35D32CE5" wp14:editId="00431595">
            <wp:simplePos x="0" y="0"/>
            <wp:positionH relativeFrom="margin">
              <wp:posOffset>144379</wp:posOffset>
            </wp:positionH>
            <wp:positionV relativeFrom="margin">
              <wp:posOffset>-361348</wp:posOffset>
            </wp:positionV>
            <wp:extent cx="580390" cy="490855"/>
            <wp:effectExtent l="0" t="0" r="3810" b="4445"/>
            <wp:wrapSquare wrapText="bothSides"/>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490855"/>
                    </a:xfrm>
                    <a:prstGeom prst="rect">
                      <a:avLst/>
                    </a:prstGeom>
                    <a:noFill/>
                    <a:ln>
                      <a:noFill/>
                    </a:ln>
                  </pic:spPr>
                </pic:pic>
              </a:graphicData>
            </a:graphic>
          </wp:anchor>
        </w:drawing>
      </w:r>
    </w:p>
    <w:p w14:paraId="5EA0419A" w14:textId="0948714A" w:rsidR="006613B5" w:rsidRDefault="006613B5" w:rsidP="000D4A0F">
      <w:pPr>
        <w:jc w:val="both"/>
        <w:rPr>
          <w:lang w:val="en-US"/>
        </w:rPr>
      </w:pPr>
    </w:p>
    <w:p w14:paraId="66A93907" w14:textId="132F7F67" w:rsidR="006613B5" w:rsidRDefault="006613B5" w:rsidP="000D4A0F">
      <w:pPr>
        <w:jc w:val="both"/>
        <w:rPr>
          <w:lang w:val="en-US"/>
        </w:rPr>
      </w:pPr>
    </w:p>
    <w:p w14:paraId="11B19F98" w14:textId="0A136BD5" w:rsidR="006613B5" w:rsidRPr="000D4A0F" w:rsidRDefault="006613B5" w:rsidP="000D4A0F">
      <w:pPr>
        <w:jc w:val="both"/>
        <w:rPr>
          <w:lang w:val="en-US"/>
        </w:rPr>
      </w:pPr>
    </w:p>
    <w:p w14:paraId="62E88402" w14:textId="153815BE" w:rsidR="000D4A0F" w:rsidRPr="00BB5FD8" w:rsidRDefault="00DD29B4" w:rsidP="00DD29B4">
      <w:pPr>
        <w:jc w:val="center"/>
      </w:pPr>
      <w:r>
        <w:rPr>
          <w:lang w:val="fr"/>
        </w:rPr>
        <w:t>TOR</w:t>
      </w:r>
    </w:p>
    <w:p w14:paraId="0E0FFC4D" w14:textId="6D6F533C" w:rsidR="00DD29B4" w:rsidRPr="00BB5FD8" w:rsidRDefault="00DD29B4" w:rsidP="00DD29B4">
      <w:pPr>
        <w:jc w:val="center"/>
      </w:pPr>
      <w:r w:rsidRPr="00DD29B4">
        <w:rPr>
          <w:lang w:val="fr"/>
        </w:rPr>
        <w:t xml:space="preserve">Appel à </w:t>
      </w:r>
      <w:r>
        <w:rPr>
          <w:lang w:val="fr"/>
        </w:rPr>
        <w:t>consultant</w:t>
      </w:r>
      <w:r w:rsidRPr="00DD29B4">
        <w:rPr>
          <w:lang w:val="fr"/>
        </w:rPr>
        <w:t>(s</w:t>
      </w:r>
      <w:r>
        <w:rPr>
          <w:lang w:val="fr"/>
        </w:rPr>
        <w:t xml:space="preserve">) </w:t>
      </w:r>
      <w:r w:rsidR="00DF53F9">
        <w:rPr>
          <w:lang w:val="fr"/>
        </w:rPr>
        <w:t xml:space="preserve">pour </w:t>
      </w:r>
      <w:r w:rsidR="00DF53F9" w:rsidRPr="00DD29B4">
        <w:rPr>
          <w:lang w:val="fr"/>
        </w:rPr>
        <w:t>faciliter</w:t>
      </w:r>
      <w:r w:rsidRPr="00DD29B4">
        <w:rPr>
          <w:lang w:val="fr"/>
        </w:rPr>
        <w:t xml:space="preserve"> une </w:t>
      </w:r>
      <w:r>
        <w:rPr>
          <w:lang w:val="fr"/>
        </w:rPr>
        <w:t xml:space="preserve">« </w:t>
      </w:r>
      <w:r w:rsidR="00BB5FD8">
        <w:rPr>
          <w:b/>
          <w:bCs/>
          <w:lang w:val="fr"/>
        </w:rPr>
        <w:t>F</w:t>
      </w:r>
      <w:r w:rsidRPr="00DD29B4">
        <w:rPr>
          <w:b/>
          <w:bCs/>
          <w:lang w:val="fr"/>
        </w:rPr>
        <w:t xml:space="preserve">ormation régionale sur la rédaction de propositions </w:t>
      </w:r>
      <w:r w:rsidR="00BB5FD8">
        <w:rPr>
          <w:b/>
          <w:bCs/>
          <w:lang w:val="fr"/>
        </w:rPr>
        <w:t>de projets</w:t>
      </w:r>
      <w:r>
        <w:rPr>
          <w:lang w:val="fr"/>
        </w:rPr>
        <w:t xml:space="preserve"> »</w:t>
      </w:r>
      <w:r w:rsidRPr="00DD29B4">
        <w:rPr>
          <w:lang w:val="fr"/>
        </w:rPr>
        <w:t xml:space="preserve"> pour les OSC de la région MENA</w:t>
      </w:r>
    </w:p>
    <w:p w14:paraId="67572785" w14:textId="4411280B" w:rsidR="00DD29B4" w:rsidRPr="00BB5FD8" w:rsidRDefault="00DD29B4" w:rsidP="00DD29B4">
      <w:pPr>
        <w:jc w:val="both"/>
        <w:rPr>
          <w:rFonts w:asciiTheme="majorHAnsi" w:hAnsiTheme="majorHAnsi" w:cstheme="majorHAnsi"/>
          <w:sz w:val="22"/>
          <w:szCs w:val="22"/>
        </w:rPr>
      </w:pPr>
    </w:p>
    <w:p w14:paraId="2FF1A59F" w14:textId="77777777" w:rsidR="00DD29B4" w:rsidRPr="00BB5FD8" w:rsidRDefault="00DD29B4" w:rsidP="00DD29B4">
      <w:pPr>
        <w:jc w:val="both"/>
        <w:rPr>
          <w:rFonts w:asciiTheme="majorHAnsi" w:hAnsiTheme="majorHAnsi" w:cstheme="majorHAnsi"/>
          <w:sz w:val="22"/>
          <w:szCs w:val="22"/>
        </w:rPr>
      </w:pPr>
    </w:p>
    <w:p w14:paraId="24310FA8" w14:textId="57C17E15" w:rsidR="000D4A0F" w:rsidRPr="00BB5FD8" w:rsidRDefault="000D4A0F" w:rsidP="000D4A0F">
      <w:pPr>
        <w:jc w:val="both"/>
        <w:rPr>
          <w:rFonts w:asciiTheme="majorHAnsi" w:hAnsiTheme="majorHAnsi" w:cstheme="majorHAnsi"/>
        </w:rPr>
      </w:pPr>
      <w:r w:rsidRPr="000D4A0F">
        <w:rPr>
          <w:b/>
          <w:bCs/>
          <w:lang w:val="fr"/>
        </w:rPr>
        <w:t>Titre :</w:t>
      </w:r>
      <w:r w:rsidRPr="00736793">
        <w:rPr>
          <w:sz w:val="22"/>
          <w:szCs w:val="22"/>
          <w:lang w:val="fr"/>
        </w:rPr>
        <w:t xml:space="preserve"> Formation régionale sur la rédaction de demandes de subvention</w:t>
      </w:r>
      <w:r w:rsidR="00331686">
        <w:rPr>
          <w:sz w:val="22"/>
          <w:szCs w:val="22"/>
          <w:lang w:val="fr"/>
        </w:rPr>
        <w:t>s</w:t>
      </w:r>
    </w:p>
    <w:p w14:paraId="5D7AAB70" w14:textId="70971FA9" w:rsidR="000D4A0F" w:rsidRPr="00BB5FD8" w:rsidRDefault="000D4A0F" w:rsidP="000D4A0F">
      <w:pPr>
        <w:jc w:val="both"/>
        <w:rPr>
          <w:rFonts w:asciiTheme="majorHAnsi" w:hAnsiTheme="majorHAnsi" w:cstheme="majorHAnsi"/>
        </w:rPr>
      </w:pPr>
    </w:p>
    <w:p w14:paraId="5E7CE51C" w14:textId="3A74623F" w:rsidR="000D4A0F" w:rsidRDefault="00DE527C" w:rsidP="000D4A0F">
      <w:pPr>
        <w:jc w:val="both"/>
        <w:rPr>
          <w:b/>
          <w:bCs/>
          <w:lang w:val="fr"/>
        </w:rPr>
      </w:pPr>
      <w:r>
        <w:rPr>
          <w:b/>
          <w:bCs/>
          <w:lang w:val="fr"/>
        </w:rPr>
        <w:t>Contexte</w:t>
      </w:r>
      <w:r w:rsidRPr="000D4A0F">
        <w:rPr>
          <w:b/>
          <w:bCs/>
          <w:lang w:val="fr"/>
        </w:rPr>
        <w:t xml:space="preserve"> :</w:t>
      </w:r>
      <w:r w:rsidR="000D4A0F" w:rsidRPr="000D4A0F">
        <w:rPr>
          <w:b/>
          <w:bCs/>
          <w:lang w:val="fr"/>
        </w:rPr>
        <w:t xml:space="preserve"> </w:t>
      </w:r>
    </w:p>
    <w:p w14:paraId="6A41E12F" w14:textId="4E934A8D" w:rsidR="00DE527C" w:rsidRPr="002C0A26" w:rsidRDefault="00DE527C" w:rsidP="000D4A0F">
      <w:pPr>
        <w:jc w:val="both"/>
        <w:rPr>
          <w:color w:val="000000" w:themeColor="text1"/>
        </w:rPr>
      </w:pPr>
      <w:r w:rsidRPr="002C0A26">
        <w:rPr>
          <w:color w:val="000000" w:themeColor="text1"/>
        </w:rPr>
        <w:t>La viabilité financière est la pierre angulaire de toute organisation. Le fait qu’une organisation dépende des bailleurs de fonds pour financer ses projet</w:t>
      </w:r>
      <w:r w:rsidR="00E416D1" w:rsidRPr="002C0A26">
        <w:rPr>
          <w:color w:val="000000" w:themeColor="text1"/>
        </w:rPr>
        <w:t>s</w:t>
      </w:r>
      <w:r w:rsidRPr="002C0A26">
        <w:rPr>
          <w:color w:val="000000" w:themeColor="text1"/>
        </w:rPr>
        <w:t xml:space="preserve"> et programmes nuit </w:t>
      </w:r>
      <w:r w:rsidR="00E416D1" w:rsidRPr="002C0A26">
        <w:rPr>
          <w:color w:val="000000" w:themeColor="text1"/>
        </w:rPr>
        <w:t xml:space="preserve">à </w:t>
      </w:r>
      <w:r w:rsidRPr="002C0A26">
        <w:rPr>
          <w:color w:val="000000" w:themeColor="text1"/>
        </w:rPr>
        <w:t>sa viabilité, sans compter</w:t>
      </w:r>
      <w:r w:rsidR="00E416D1" w:rsidRPr="002C0A26">
        <w:rPr>
          <w:color w:val="000000" w:themeColor="text1"/>
        </w:rPr>
        <w:t xml:space="preserve"> </w:t>
      </w:r>
      <w:r w:rsidRPr="002C0A26">
        <w:rPr>
          <w:color w:val="000000" w:themeColor="text1"/>
        </w:rPr>
        <w:t>l’influence que ces derniers exercent sur les priorités de l’organisation</w:t>
      </w:r>
      <w:r w:rsidR="00E416D1" w:rsidRPr="002C0A26">
        <w:rPr>
          <w:color w:val="000000" w:themeColor="text1"/>
        </w:rPr>
        <w:t>. P</w:t>
      </w:r>
      <w:r w:rsidRPr="002C0A26">
        <w:rPr>
          <w:color w:val="000000" w:themeColor="text1"/>
        </w:rPr>
        <w:t>ar ailleurs, assurer un financement adéquat et pérenne se révèle un défi de taille.</w:t>
      </w:r>
    </w:p>
    <w:p w14:paraId="69D2D7EC" w14:textId="2660C6F4" w:rsidR="000D4A0F" w:rsidRPr="00BB5FD8" w:rsidRDefault="000D4A0F" w:rsidP="000D4A0F">
      <w:pPr>
        <w:jc w:val="both"/>
        <w:rPr>
          <w:rFonts w:asciiTheme="majorHAnsi" w:hAnsiTheme="majorHAnsi" w:cstheme="majorHAnsi"/>
          <w:sz w:val="22"/>
          <w:szCs w:val="22"/>
        </w:rPr>
      </w:pPr>
      <w:r w:rsidRPr="001E0753">
        <w:rPr>
          <w:sz w:val="22"/>
          <w:szCs w:val="22"/>
          <w:lang w:val="fr"/>
        </w:rPr>
        <w:t>La région du Moyen-Orient et de l’Afrique du Nord (MENA) est confrontée à divers défis socio-économiques, notamment la pauvreté, les inégalités, les conflits et les déplacements. Les organisations de la société civile (OSC) jouent un rôle essentiel pour relever ces défis et améliorer le bien-être des communautés vulnérables de la région. Cependant, de nombreuses OSC ont du mal à obtenir des fonds pour mettre en œuvre leurs programmes et initiatives, ce qui entrave leur</w:t>
      </w:r>
      <w:r w:rsidR="00E416D1">
        <w:rPr>
          <w:sz w:val="22"/>
          <w:szCs w:val="22"/>
          <w:lang w:val="fr"/>
        </w:rPr>
        <w:t>s</w:t>
      </w:r>
      <w:r w:rsidRPr="001E0753">
        <w:rPr>
          <w:sz w:val="22"/>
          <w:szCs w:val="22"/>
          <w:lang w:val="fr"/>
        </w:rPr>
        <w:t xml:space="preserve"> capacité</w:t>
      </w:r>
      <w:r w:rsidR="00E416D1">
        <w:rPr>
          <w:sz w:val="22"/>
          <w:szCs w:val="22"/>
          <w:lang w:val="fr"/>
        </w:rPr>
        <w:t>s</w:t>
      </w:r>
      <w:r w:rsidRPr="001E0753">
        <w:rPr>
          <w:sz w:val="22"/>
          <w:szCs w:val="22"/>
          <w:lang w:val="fr"/>
        </w:rPr>
        <w:t xml:space="preserve"> à atteindre leurs objectifs.</w:t>
      </w:r>
    </w:p>
    <w:p w14:paraId="73F39D87" w14:textId="4D92FC20" w:rsidR="000D4A0F" w:rsidRPr="00BB5FD8" w:rsidRDefault="000D4A0F" w:rsidP="000D4A0F">
      <w:pPr>
        <w:jc w:val="both"/>
        <w:rPr>
          <w:rFonts w:asciiTheme="majorHAnsi" w:hAnsiTheme="majorHAnsi" w:cstheme="majorHAnsi"/>
        </w:rPr>
      </w:pPr>
    </w:p>
    <w:p w14:paraId="0C8DC788" w14:textId="2DD24FE3" w:rsidR="000D4A0F" w:rsidRPr="00BB5FD8" w:rsidRDefault="0046073A" w:rsidP="000D4A0F">
      <w:pPr>
        <w:jc w:val="both"/>
        <w:rPr>
          <w:rFonts w:asciiTheme="majorHAnsi" w:hAnsiTheme="majorHAnsi" w:cstheme="majorHAnsi"/>
          <w:b/>
          <w:bCs/>
        </w:rPr>
      </w:pPr>
      <w:r w:rsidRPr="000D4A0F">
        <w:rPr>
          <w:b/>
          <w:bCs/>
          <w:lang w:val="fr"/>
        </w:rPr>
        <w:t>But :</w:t>
      </w:r>
      <w:r w:rsidR="000D4A0F" w:rsidRPr="000D4A0F">
        <w:rPr>
          <w:b/>
          <w:bCs/>
          <w:lang w:val="fr"/>
        </w:rPr>
        <w:t xml:space="preserve"> </w:t>
      </w:r>
    </w:p>
    <w:p w14:paraId="7515F4AB" w14:textId="12ACD038" w:rsidR="004B18FA" w:rsidRPr="00BC5FEF" w:rsidRDefault="006C07FE" w:rsidP="006C07FE">
      <w:pPr>
        <w:jc w:val="both"/>
        <w:rPr>
          <w:color w:val="000000" w:themeColor="text1"/>
        </w:rPr>
      </w:pPr>
      <w:r w:rsidRPr="00BC5FEF">
        <w:rPr>
          <w:color w:val="000000" w:themeColor="text1"/>
        </w:rPr>
        <w:t>D</w:t>
      </w:r>
      <w:r w:rsidR="0046073A" w:rsidRPr="00BC5FEF">
        <w:rPr>
          <w:color w:val="000000" w:themeColor="text1"/>
        </w:rPr>
        <w:t xml:space="preserve">e plus en plus, les institutions d’octroi des subventions exigent </w:t>
      </w:r>
      <w:r w:rsidR="00E416D1" w:rsidRPr="00BC5FEF">
        <w:rPr>
          <w:color w:val="000000" w:themeColor="text1"/>
        </w:rPr>
        <w:t>des</w:t>
      </w:r>
      <w:r w:rsidR="0046073A" w:rsidRPr="00BC5FEF">
        <w:rPr>
          <w:color w:val="000000" w:themeColor="text1"/>
        </w:rPr>
        <w:t xml:space="preserve"> </w:t>
      </w:r>
      <w:r w:rsidRPr="00BC5FEF">
        <w:rPr>
          <w:color w:val="000000" w:themeColor="text1"/>
        </w:rPr>
        <w:t>niveau</w:t>
      </w:r>
      <w:r w:rsidR="00E416D1" w:rsidRPr="00BC5FEF">
        <w:rPr>
          <w:color w:val="000000" w:themeColor="text1"/>
        </w:rPr>
        <w:t>x</w:t>
      </w:r>
      <w:r w:rsidRPr="00BC5FEF">
        <w:rPr>
          <w:color w:val="000000" w:themeColor="text1"/>
        </w:rPr>
        <w:t xml:space="preserve"> d’excellence au OSC</w:t>
      </w:r>
      <w:r w:rsidR="0046073A" w:rsidRPr="00BC5FEF">
        <w:rPr>
          <w:color w:val="000000" w:themeColor="text1"/>
        </w:rPr>
        <w:t xml:space="preserve">, </w:t>
      </w:r>
      <w:r w:rsidRPr="00BC5FEF">
        <w:rPr>
          <w:color w:val="000000" w:themeColor="text1"/>
        </w:rPr>
        <w:t xml:space="preserve">avec </w:t>
      </w:r>
      <w:r w:rsidR="00E416D1" w:rsidRPr="00BC5FEF">
        <w:rPr>
          <w:color w:val="000000" w:themeColor="text1"/>
        </w:rPr>
        <w:t xml:space="preserve">un </w:t>
      </w:r>
      <w:r w:rsidR="0046073A" w:rsidRPr="00BC5FEF">
        <w:rPr>
          <w:color w:val="000000" w:themeColor="text1"/>
        </w:rPr>
        <w:t xml:space="preserve">processus </w:t>
      </w:r>
      <w:r w:rsidRPr="00BC5FEF">
        <w:rPr>
          <w:color w:val="000000" w:themeColor="text1"/>
        </w:rPr>
        <w:t xml:space="preserve">de sélection très </w:t>
      </w:r>
      <w:r w:rsidR="0046073A" w:rsidRPr="00BC5FEF">
        <w:rPr>
          <w:color w:val="000000" w:themeColor="text1"/>
        </w:rPr>
        <w:t xml:space="preserve">compétitifs. </w:t>
      </w:r>
      <w:r w:rsidRPr="00BC5FEF">
        <w:rPr>
          <w:color w:val="000000" w:themeColor="text1"/>
        </w:rPr>
        <w:t>Actuellement</w:t>
      </w:r>
      <w:r w:rsidR="00E416D1" w:rsidRPr="00BC5FEF">
        <w:rPr>
          <w:color w:val="000000" w:themeColor="text1"/>
        </w:rPr>
        <w:t>,</w:t>
      </w:r>
      <w:r w:rsidRPr="00BC5FEF">
        <w:rPr>
          <w:color w:val="000000" w:themeColor="text1"/>
        </w:rPr>
        <w:t xml:space="preserve"> </w:t>
      </w:r>
      <w:r w:rsidR="0046073A" w:rsidRPr="00BC5FEF">
        <w:rPr>
          <w:color w:val="000000" w:themeColor="text1"/>
        </w:rPr>
        <w:t xml:space="preserve">Il n’est plus possible de </w:t>
      </w:r>
      <w:r w:rsidR="00E416D1" w:rsidRPr="00BC5FEF">
        <w:rPr>
          <w:color w:val="000000" w:themeColor="text1"/>
        </w:rPr>
        <w:t xml:space="preserve">soumettre </w:t>
      </w:r>
      <w:r w:rsidR="0046073A" w:rsidRPr="00BC5FEF">
        <w:rPr>
          <w:color w:val="000000" w:themeColor="text1"/>
        </w:rPr>
        <w:t xml:space="preserve">des propositions de subvention </w:t>
      </w:r>
      <w:r w:rsidRPr="00BC5FEF">
        <w:rPr>
          <w:color w:val="000000" w:themeColor="text1"/>
        </w:rPr>
        <w:t xml:space="preserve">que </w:t>
      </w:r>
      <w:r w:rsidR="0046073A" w:rsidRPr="00BC5FEF">
        <w:rPr>
          <w:color w:val="000000" w:themeColor="text1"/>
        </w:rPr>
        <w:t xml:space="preserve">pour la forme. </w:t>
      </w:r>
    </w:p>
    <w:p w14:paraId="6A7720A1" w14:textId="38DC8894" w:rsidR="004B18FA" w:rsidRPr="00BC5FEF" w:rsidRDefault="004B18FA" w:rsidP="000D4A0F">
      <w:pPr>
        <w:jc w:val="both"/>
        <w:rPr>
          <w:color w:val="000000" w:themeColor="text1"/>
        </w:rPr>
      </w:pPr>
      <w:r w:rsidRPr="00BC5FEF">
        <w:rPr>
          <w:color w:val="000000" w:themeColor="text1"/>
        </w:rPr>
        <w:t xml:space="preserve">Avec les dernières turbulences </w:t>
      </w:r>
      <w:r w:rsidR="00E416D1" w:rsidRPr="00BC5FEF">
        <w:rPr>
          <w:color w:val="000000" w:themeColor="text1"/>
        </w:rPr>
        <w:t xml:space="preserve">financières, </w:t>
      </w:r>
      <w:r w:rsidRPr="00BC5FEF">
        <w:rPr>
          <w:color w:val="000000" w:themeColor="text1"/>
        </w:rPr>
        <w:t>les organismes</w:t>
      </w:r>
      <w:r w:rsidR="0046073A" w:rsidRPr="00BC5FEF">
        <w:rPr>
          <w:color w:val="000000" w:themeColor="text1"/>
        </w:rPr>
        <w:t xml:space="preserve"> à but non lucratif doivent désormais mériter leur fond et parfois gagner une compétition.</w:t>
      </w:r>
    </w:p>
    <w:p w14:paraId="1EB45873" w14:textId="7B2734AF" w:rsidR="0046073A" w:rsidRPr="00BC5FEF" w:rsidRDefault="0046073A" w:rsidP="000D4A0F">
      <w:pPr>
        <w:jc w:val="both"/>
        <w:rPr>
          <w:color w:val="000000" w:themeColor="text1"/>
        </w:rPr>
      </w:pPr>
      <w:r w:rsidRPr="00BC5FEF">
        <w:rPr>
          <w:color w:val="000000" w:themeColor="text1"/>
        </w:rPr>
        <w:t xml:space="preserve">Alors, face à la diminution des </w:t>
      </w:r>
      <w:r w:rsidR="00E416D1" w:rsidRPr="00BC5FEF">
        <w:rPr>
          <w:color w:val="000000" w:themeColor="text1"/>
        </w:rPr>
        <w:t>financements</w:t>
      </w:r>
      <w:r w:rsidRPr="00BC5FEF">
        <w:rPr>
          <w:color w:val="000000" w:themeColor="text1"/>
        </w:rPr>
        <w:t xml:space="preserve"> des bailleurs, les dirigeants des organis</w:t>
      </w:r>
      <w:r w:rsidR="00E416D1" w:rsidRPr="00BC5FEF">
        <w:rPr>
          <w:color w:val="000000" w:themeColor="text1"/>
        </w:rPr>
        <w:t xml:space="preserve">ations de la société civile sont confrontés à </w:t>
      </w:r>
      <w:r w:rsidRPr="00BC5FEF">
        <w:rPr>
          <w:color w:val="000000" w:themeColor="text1"/>
        </w:rPr>
        <w:t>deux choix : opter pour une dissolution de la structure, ou rechercher de manière énergique et créative d’autre</w:t>
      </w:r>
      <w:r w:rsidR="00E416D1" w:rsidRPr="00BC5FEF">
        <w:rPr>
          <w:color w:val="000000" w:themeColor="text1"/>
        </w:rPr>
        <w:t>s</w:t>
      </w:r>
      <w:r w:rsidRPr="00BC5FEF">
        <w:rPr>
          <w:color w:val="000000" w:themeColor="text1"/>
        </w:rPr>
        <w:t xml:space="preserve"> sources de financements </w:t>
      </w:r>
      <w:r w:rsidR="006C07FE" w:rsidRPr="00BC5FEF">
        <w:rPr>
          <w:color w:val="000000" w:themeColor="text1"/>
        </w:rPr>
        <w:t>à travers de bonne</w:t>
      </w:r>
      <w:r w:rsidR="00E416D1" w:rsidRPr="00BC5FEF">
        <w:rPr>
          <w:color w:val="000000" w:themeColor="text1"/>
        </w:rPr>
        <w:t>s</w:t>
      </w:r>
      <w:r w:rsidR="006C07FE" w:rsidRPr="00BC5FEF">
        <w:rPr>
          <w:color w:val="000000" w:themeColor="text1"/>
        </w:rPr>
        <w:t xml:space="preserve"> demande</w:t>
      </w:r>
      <w:r w:rsidR="00E416D1" w:rsidRPr="00BC5FEF">
        <w:rPr>
          <w:color w:val="000000" w:themeColor="text1"/>
        </w:rPr>
        <w:t>s</w:t>
      </w:r>
      <w:r w:rsidR="006C07FE" w:rsidRPr="00BC5FEF">
        <w:rPr>
          <w:color w:val="000000" w:themeColor="text1"/>
        </w:rPr>
        <w:t xml:space="preserve"> </w:t>
      </w:r>
      <w:r w:rsidRPr="00BC5FEF">
        <w:rPr>
          <w:color w:val="000000" w:themeColor="text1"/>
        </w:rPr>
        <w:t>pour combler les écarts</w:t>
      </w:r>
      <w:r w:rsidR="006C07FE" w:rsidRPr="00BC5FEF">
        <w:rPr>
          <w:color w:val="000000" w:themeColor="text1"/>
        </w:rPr>
        <w:t>.</w:t>
      </w:r>
    </w:p>
    <w:p w14:paraId="2E2FA551" w14:textId="784F8BD5" w:rsidR="00DE527C" w:rsidRDefault="000D4A0F" w:rsidP="000D4A0F">
      <w:pPr>
        <w:jc w:val="both"/>
        <w:rPr>
          <w:sz w:val="22"/>
          <w:szCs w:val="22"/>
          <w:lang w:val="fr"/>
        </w:rPr>
      </w:pPr>
      <w:r w:rsidRPr="001E0753">
        <w:rPr>
          <w:sz w:val="22"/>
          <w:szCs w:val="22"/>
          <w:lang w:val="fr"/>
        </w:rPr>
        <w:t>Pour relever ce défi de financement, une formation régionale sur la rédaction de propositions de subventions est organisée p</w:t>
      </w:r>
      <w:r w:rsidR="009D6DB0">
        <w:rPr>
          <w:sz w:val="22"/>
          <w:szCs w:val="22"/>
          <w:lang w:val="fr"/>
        </w:rPr>
        <w:t xml:space="preserve">ar les associations </w:t>
      </w:r>
      <w:r w:rsidR="00BB5FD8">
        <w:rPr>
          <w:sz w:val="22"/>
          <w:szCs w:val="22"/>
          <w:lang w:val="fr"/>
        </w:rPr>
        <w:t>ITPC-MENA et l’ALCS dans le cadre de la subvention régionale du Fonds Mondial</w:t>
      </w:r>
      <w:r w:rsidRPr="001E0753">
        <w:rPr>
          <w:sz w:val="22"/>
          <w:szCs w:val="22"/>
          <w:lang w:val="fr"/>
        </w:rPr>
        <w:t>.</w:t>
      </w:r>
    </w:p>
    <w:p w14:paraId="092C995B" w14:textId="2A1D1097" w:rsidR="000D4A0F" w:rsidRDefault="000D4A0F" w:rsidP="000D4A0F">
      <w:pPr>
        <w:jc w:val="both"/>
        <w:rPr>
          <w:sz w:val="22"/>
          <w:szCs w:val="22"/>
          <w:lang w:val="fr"/>
        </w:rPr>
      </w:pPr>
      <w:r w:rsidRPr="001E0753">
        <w:rPr>
          <w:sz w:val="22"/>
          <w:szCs w:val="22"/>
          <w:lang w:val="fr"/>
        </w:rPr>
        <w:t xml:space="preserve">La formation vise à doter les OSC </w:t>
      </w:r>
      <w:r w:rsidR="00BB5FD8">
        <w:rPr>
          <w:sz w:val="22"/>
          <w:szCs w:val="22"/>
          <w:lang w:val="fr"/>
        </w:rPr>
        <w:t xml:space="preserve">de la région MENA </w:t>
      </w:r>
      <w:r w:rsidRPr="001E0753">
        <w:rPr>
          <w:sz w:val="22"/>
          <w:szCs w:val="22"/>
          <w:lang w:val="fr"/>
        </w:rPr>
        <w:t>des compétences et des connaissances nécessaires pour élaborer des propositions de subvention convaincantes qui communiquent efficacement l’impact de leurs programmes et attirent des financements de donateurs et de bailleurs de fonds, et à renforcer la capacité des participants à rédiger des propositions de subvention réussies qui correspondent aux exigences et aux priorités de financement des donateurs.</w:t>
      </w:r>
    </w:p>
    <w:p w14:paraId="66D7667D" w14:textId="722CEE6B" w:rsidR="000D37E0" w:rsidRPr="000D37E0" w:rsidRDefault="000D37E0" w:rsidP="000D4A0F">
      <w:pPr>
        <w:jc w:val="both"/>
        <w:rPr>
          <w:sz w:val="22"/>
          <w:szCs w:val="22"/>
          <w:lang w:val="fr"/>
        </w:rPr>
      </w:pPr>
      <w:r w:rsidRPr="000D37E0">
        <w:rPr>
          <w:sz w:val="22"/>
          <w:szCs w:val="22"/>
          <w:lang w:val="fr"/>
        </w:rPr>
        <w:t>Cette formation sera accessible</w:t>
      </w:r>
      <w:r w:rsidR="00E416D1">
        <w:rPr>
          <w:sz w:val="22"/>
          <w:szCs w:val="22"/>
          <w:lang w:val="fr"/>
        </w:rPr>
        <w:t xml:space="preserve"> </w:t>
      </w:r>
      <w:r w:rsidRPr="000D37E0">
        <w:rPr>
          <w:sz w:val="22"/>
          <w:szCs w:val="22"/>
          <w:lang w:val="fr"/>
        </w:rPr>
        <w:t>à</w:t>
      </w:r>
      <w:r w:rsidR="00E416D1">
        <w:rPr>
          <w:sz w:val="22"/>
          <w:szCs w:val="22"/>
          <w:lang w:val="fr"/>
        </w:rPr>
        <w:t xml:space="preserve"> </w:t>
      </w:r>
      <w:r w:rsidRPr="000D37E0">
        <w:rPr>
          <w:sz w:val="22"/>
          <w:szCs w:val="22"/>
          <w:lang w:val="fr"/>
        </w:rPr>
        <w:t>tous les participants, indépendamment de leur origine, genre, orientation sexuelle et devra être adaptée à un public diversifié en termes de niveau de compétence en rédaction de propositions de subvention et d'expérience.</w:t>
      </w:r>
    </w:p>
    <w:p w14:paraId="4031C930" w14:textId="0F03DDC0" w:rsidR="000D4A0F" w:rsidRPr="00BB5FD8" w:rsidRDefault="000D4A0F" w:rsidP="000D4A0F">
      <w:pPr>
        <w:jc w:val="both"/>
        <w:rPr>
          <w:rFonts w:asciiTheme="majorHAnsi" w:hAnsiTheme="majorHAnsi" w:cstheme="majorHAnsi"/>
        </w:rPr>
      </w:pPr>
    </w:p>
    <w:p w14:paraId="7DDE24F8" w14:textId="77777777" w:rsidR="000D4A0F" w:rsidRPr="00BB5FD8" w:rsidRDefault="000D4A0F" w:rsidP="000D4A0F">
      <w:pPr>
        <w:jc w:val="both"/>
        <w:rPr>
          <w:rFonts w:asciiTheme="majorHAnsi" w:hAnsiTheme="majorHAnsi" w:cstheme="majorHAnsi"/>
          <w:b/>
          <w:bCs/>
        </w:rPr>
      </w:pPr>
      <w:r w:rsidRPr="000D4A0F">
        <w:rPr>
          <w:b/>
          <w:bCs/>
          <w:lang w:val="fr"/>
        </w:rPr>
        <w:t>Portée des travaux :</w:t>
      </w:r>
    </w:p>
    <w:p w14:paraId="4E3D395A" w14:textId="70DC90CF" w:rsidR="000D4A0F" w:rsidRPr="00BB5FD8" w:rsidRDefault="000D4A0F" w:rsidP="000D4A0F">
      <w:pPr>
        <w:jc w:val="both"/>
        <w:rPr>
          <w:rFonts w:asciiTheme="majorHAnsi" w:hAnsiTheme="majorHAnsi" w:cstheme="majorHAnsi"/>
          <w:sz w:val="22"/>
          <w:szCs w:val="22"/>
        </w:rPr>
      </w:pPr>
      <w:r w:rsidRPr="001E0753">
        <w:rPr>
          <w:sz w:val="22"/>
          <w:szCs w:val="22"/>
          <w:lang w:val="fr"/>
        </w:rPr>
        <w:t>La</w:t>
      </w:r>
      <w:r w:rsidR="00BB5FD8">
        <w:rPr>
          <w:sz w:val="22"/>
          <w:szCs w:val="22"/>
          <w:lang w:val="fr"/>
        </w:rPr>
        <w:t xml:space="preserve"> </w:t>
      </w:r>
      <w:r>
        <w:rPr>
          <w:lang w:val="fr"/>
        </w:rPr>
        <w:t xml:space="preserve">formation se déroulera sur </w:t>
      </w:r>
      <w:r w:rsidR="006613B5">
        <w:rPr>
          <w:sz w:val="22"/>
          <w:szCs w:val="22"/>
          <w:lang w:val="fr"/>
        </w:rPr>
        <w:t>trois</w:t>
      </w:r>
      <w:r w:rsidRPr="001E0753">
        <w:rPr>
          <w:sz w:val="22"/>
          <w:szCs w:val="22"/>
          <w:lang w:val="fr"/>
        </w:rPr>
        <w:t xml:space="preserve"> jours à Tang</w:t>
      </w:r>
      <w:r w:rsidR="006613B5">
        <w:rPr>
          <w:sz w:val="22"/>
          <w:szCs w:val="22"/>
          <w:lang w:val="fr"/>
        </w:rPr>
        <w:t xml:space="preserve">er </w:t>
      </w:r>
      <w:r>
        <w:rPr>
          <w:lang w:val="fr"/>
        </w:rPr>
        <w:t xml:space="preserve">du </w:t>
      </w:r>
      <w:r w:rsidR="006613B5">
        <w:rPr>
          <w:sz w:val="22"/>
          <w:szCs w:val="22"/>
          <w:lang w:val="fr"/>
        </w:rPr>
        <w:t>10 au 12</w:t>
      </w:r>
      <w:r>
        <w:rPr>
          <w:lang w:val="fr"/>
        </w:rPr>
        <w:t xml:space="preserve"> </w:t>
      </w:r>
      <w:r w:rsidR="006613B5">
        <w:rPr>
          <w:sz w:val="22"/>
          <w:szCs w:val="22"/>
          <w:lang w:val="fr"/>
        </w:rPr>
        <w:t>juillet</w:t>
      </w:r>
      <w:r>
        <w:rPr>
          <w:lang w:val="fr"/>
        </w:rPr>
        <w:t xml:space="preserve"> </w:t>
      </w:r>
      <w:r w:rsidR="006613B5">
        <w:rPr>
          <w:sz w:val="22"/>
          <w:szCs w:val="22"/>
          <w:lang w:val="fr"/>
        </w:rPr>
        <w:t>2023</w:t>
      </w:r>
      <w:r>
        <w:rPr>
          <w:lang w:val="fr"/>
        </w:rPr>
        <w:t xml:space="preserve">, </w:t>
      </w:r>
      <w:r w:rsidR="006613B5">
        <w:rPr>
          <w:sz w:val="22"/>
          <w:szCs w:val="22"/>
          <w:lang w:val="fr"/>
        </w:rPr>
        <w:t>au</w:t>
      </w:r>
      <w:r>
        <w:rPr>
          <w:lang w:val="fr"/>
        </w:rPr>
        <w:t xml:space="preserve"> Maroc</w:t>
      </w:r>
      <w:r w:rsidRPr="001E0753">
        <w:rPr>
          <w:sz w:val="22"/>
          <w:szCs w:val="22"/>
          <w:lang w:val="fr"/>
        </w:rPr>
        <w:t xml:space="preserve">, et réunira </w:t>
      </w:r>
      <w:r w:rsidR="006613B5">
        <w:rPr>
          <w:sz w:val="22"/>
          <w:szCs w:val="22"/>
          <w:lang w:val="fr"/>
        </w:rPr>
        <w:t>25</w:t>
      </w:r>
      <w:r w:rsidRPr="001E0753">
        <w:rPr>
          <w:sz w:val="22"/>
          <w:szCs w:val="22"/>
          <w:lang w:val="fr"/>
        </w:rPr>
        <w:t xml:space="preserve"> participants d’OSC </w:t>
      </w:r>
      <w:r w:rsidR="006613B5">
        <w:rPr>
          <w:sz w:val="22"/>
          <w:szCs w:val="22"/>
          <w:lang w:val="fr"/>
        </w:rPr>
        <w:t xml:space="preserve">du Maroc et de toute la </w:t>
      </w:r>
      <w:r w:rsidRPr="001E0753">
        <w:rPr>
          <w:sz w:val="22"/>
          <w:szCs w:val="22"/>
          <w:lang w:val="fr"/>
        </w:rPr>
        <w:t>région MENA. La formation couvrira les sujets suivants :</w:t>
      </w:r>
    </w:p>
    <w:p w14:paraId="2EEFADB0" w14:textId="148748A5" w:rsidR="000D4A0F" w:rsidRPr="00BB5FD8" w:rsidRDefault="000D4A0F" w:rsidP="000D4A0F">
      <w:pPr>
        <w:pStyle w:val="Paragraphedeliste"/>
        <w:numPr>
          <w:ilvl w:val="0"/>
          <w:numId w:val="8"/>
        </w:numPr>
        <w:jc w:val="both"/>
        <w:rPr>
          <w:rFonts w:asciiTheme="majorHAnsi" w:hAnsiTheme="majorHAnsi" w:cstheme="majorHAnsi"/>
          <w:i/>
          <w:iCs/>
          <w:sz w:val="22"/>
          <w:szCs w:val="22"/>
        </w:rPr>
      </w:pPr>
      <w:r w:rsidRPr="000D4A0F">
        <w:rPr>
          <w:i/>
          <w:iCs/>
          <w:sz w:val="22"/>
          <w:szCs w:val="22"/>
          <w:lang w:val="fr"/>
        </w:rPr>
        <w:t xml:space="preserve">Aperçu de la rédaction de la proposition de </w:t>
      </w:r>
      <w:r w:rsidR="00BB5FD8">
        <w:rPr>
          <w:i/>
          <w:iCs/>
          <w:sz w:val="22"/>
          <w:szCs w:val="22"/>
          <w:lang w:val="fr"/>
        </w:rPr>
        <w:t>projet</w:t>
      </w:r>
    </w:p>
    <w:p w14:paraId="3BE700F2" w14:textId="77777777" w:rsidR="000D4A0F" w:rsidRPr="000D4A0F" w:rsidRDefault="000D4A0F" w:rsidP="000D4A0F">
      <w:pPr>
        <w:pStyle w:val="Paragraphedeliste"/>
        <w:numPr>
          <w:ilvl w:val="0"/>
          <w:numId w:val="8"/>
        </w:numPr>
        <w:jc w:val="both"/>
        <w:rPr>
          <w:rFonts w:asciiTheme="majorHAnsi" w:hAnsiTheme="majorHAnsi" w:cstheme="majorHAnsi"/>
          <w:i/>
          <w:iCs/>
          <w:sz w:val="22"/>
          <w:szCs w:val="22"/>
          <w:lang w:val="en-US"/>
        </w:rPr>
      </w:pPr>
      <w:r w:rsidRPr="000D4A0F">
        <w:rPr>
          <w:i/>
          <w:iCs/>
          <w:sz w:val="22"/>
          <w:szCs w:val="22"/>
          <w:lang w:val="fr"/>
        </w:rPr>
        <w:lastRenderedPageBreak/>
        <w:t>Détermination des possibilités de financement</w:t>
      </w:r>
    </w:p>
    <w:p w14:paraId="281C0CBF" w14:textId="77777777" w:rsidR="000D4A0F" w:rsidRPr="00BB5FD8" w:rsidRDefault="000D4A0F" w:rsidP="000D4A0F">
      <w:pPr>
        <w:pStyle w:val="Paragraphedeliste"/>
        <w:numPr>
          <w:ilvl w:val="0"/>
          <w:numId w:val="8"/>
        </w:numPr>
        <w:jc w:val="both"/>
        <w:rPr>
          <w:rFonts w:asciiTheme="majorHAnsi" w:hAnsiTheme="majorHAnsi" w:cstheme="majorHAnsi"/>
          <w:i/>
          <w:iCs/>
          <w:sz w:val="22"/>
          <w:szCs w:val="22"/>
        </w:rPr>
      </w:pPr>
      <w:r w:rsidRPr="000D4A0F">
        <w:rPr>
          <w:i/>
          <w:iCs/>
          <w:sz w:val="22"/>
          <w:szCs w:val="22"/>
          <w:lang w:val="fr"/>
        </w:rPr>
        <w:t>Évaluation des besoins et analyse des problèmes</w:t>
      </w:r>
    </w:p>
    <w:p w14:paraId="5721C424" w14:textId="77777777" w:rsidR="000D4A0F" w:rsidRPr="000D4A0F" w:rsidRDefault="000D4A0F" w:rsidP="000D4A0F">
      <w:pPr>
        <w:pStyle w:val="Paragraphedeliste"/>
        <w:numPr>
          <w:ilvl w:val="0"/>
          <w:numId w:val="8"/>
        </w:numPr>
        <w:jc w:val="both"/>
        <w:rPr>
          <w:rFonts w:asciiTheme="majorHAnsi" w:hAnsiTheme="majorHAnsi" w:cstheme="majorHAnsi"/>
          <w:i/>
          <w:iCs/>
          <w:sz w:val="22"/>
          <w:szCs w:val="22"/>
          <w:lang w:val="en-US"/>
        </w:rPr>
      </w:pPr>
      <w:r w:rsidRPr="000D4A0F">
        <w:rPr>
          <w:i/>
          <w:iCs/>
          <w:sz w:val="22"/>
          <w:szCs w:val="22"/>
          <w:lang w:val="fr"/>
        </w:rPr>
        <w:t>Élaboration d’un modèle logique</w:t>
      </w:r>
    </w:p>
    <w:p w14:paraId="456E813A" w14:textId="77777777" w:rsidR="000D4A0F" w:rsidRPr="00BB5FD8" w:rsidRDefault="000D4A0F" w:rsidP="000D4A0F">
      <w:pPr>
        <w:pStyle w:val="Paragraphedeliste"/>
        <w:numPr>
          <w:ilvl w:val="0"/>
          <w:numId w:val="8"/>
        </w:numPr>
        <w:jc w:val="both"/>
        <w:rPr>
          <w:rFonts w:asciiTheme="majorHAnsi" w:hAnsiTheme="majorHAnsi" w:cstheme="majorHAnsi"/>
          <w:i/>
          <w:iCs/>
          <w:sz w:val="22"/>
          <w:szCs w:val="22"/>
        </w:rPr>
      </w:pPr>
      <w:r w:rsidRPr="000D4A0F">
        <w:rPr>
          <w:i/>
          <w:iCs/>
          <w:sz w:val="22"/>
          <w:szCs w:val="22"/>
          <w:lang w:val="fr"/>
        </w:rPr>
        <w:t>Conception et rédaction d’une demande de subvention</w:t>
      </w:r>
    </w:p>
    <w:p w14:paraId="3B607A58" w14:textId="77777777" w:rsidR="000D4A0F" w:rsidRPr="00BB5FD8" w:rsidRDefault="000D4A0F" w:rsidP="000D4A0F">
      <w:pPr>
        <w:pStyle w:val="Paragraphedeliste"/>
        <w:numPr>
          <w:ilvl w:val="0"/>
          <w:numId w:val="8"/>
        </w:numPr>
        <w:jc w:val="both"/>
        <w:rPr>
          <w:rFonts w:asciiTheme="majorHAnsi" w:hAnsiTheme="majorHAnsi" w:cstheme="majorHAnsi"/>
          <w:i/>
          <w:iCs/>
          <w:sz w:val="22"/>
          <w:szCs w:val="22"/>
        </w:rPr>
      </w:pPr>
      <w:r w:rsidRPr="000D4A0F">
        <w:rPr>
          <w:i/>
          <w:iCs/>
          <w:sz w:val="22"/>
          <w:szCs w:val="22"/>
          <w:lang w:val="fr"/>
        </w:rPr>
        <w:t>Élaboration du budget et gestion financière</w:t>
      </w:r>
    </w:p>
    <w:p w14:paraId="33488F98" w14:textId="746D2AA4" w:rsidR="000D4A0F" w:rsidRPr="00E45B12" w:rsidRDefault="000D4A0F" w:rsidP="000D4A0F">
      <w:pPr>
        <w:pStyle w:val="Paragraphedeliste"/>
        <w:numPr>
          <w:ilvl w:val="0"/>
          <w:numId w:val="8"/>
        </w:numPr>
        <w:jc w:val="both"/>
        <w:rPr>
          <w:rFonts w:asciiTheme="majorHAnsi" w:hAnsiTheme="majorHAnsi" w:cstheme="majorHAnsi"/>
          <w:i/>
          <w:iCs/>
          <w:sz w:val="22"/>
          <w:szCs w:val="22"/>
        </w:rPr>
      </w:pPr>
      <w:r w:rsidRPr="000D4A0F">
        <w:rPr>
          <w:i/>
          <w:iCs/>
          <w:sz w:val="22"/>
          <w:szCs w:val="22"/>
          <w:lang w:val="fr"/>
        </w:rPr>
        <w:t>Établissement de partenariats et de collaborations</w:t>
      </w:r>
    </w:p>
    <w:p w14:paraId="4281654C" w14:textId="77777777" w:rsidR="00E45B12" w:rsidRPr="00E45B12" w:rsidRDefault="00E45B12" w:rsidP="00E45B12">
      <w:pPr>
        <w:jc w:val="both"/>
        <w:rPr>
          <w:rFonts w:asciiTheme="majorHAnsi" w:hAnsiTheme="majorHAnsi" w:cstheme="majorHAnsi"/>
          <w:i/>
          <w:iCs/>
          <w:sz w:val="22"/>
          <w:szCs w:val="22"/>
        </w:rPr>
      </w:pPr>
    </w:p>
    <w:p w14:paraId="01B98899" w14:textId="77777777" w:rsidR="000D4A0F" w:rsidRPr="00BB5FD8" w:rsidRDefault="000D4A0F" w:rsidP="000D4A0F">
      <w:pPr>
        <w:jc w:val="both"/>
        <w:rPr>
          <w:rFonts w:asciiTheme="majorHAnsi" w:hAnsiTheme="majorHAnsi" w:cstheme="majorHAnsi"/>
          <w:sz w:val="22"/>
          <w:szCs w:val="22"/>
        </w:rPr>
      </w:pPr>
      <w:r w:rsidRPr="00736793">
        <w:rPr>
          <w:sz w:val="22"/>
          <w:szCs w:val="22"/>
          <w:lang w:val="fr"/>
        </w:rPr>
        <w:t>Le consultant sera responsable de ce qui suit :</w:t>
      </w:r>
    </w:p>
    <w:p w14:paraId="45BA08E8" w14:textId="67FD65F0" w:rsidR="000D4A0F" w:rsidRPr="0046073A" w:rsidRDefault="000D4A0F" w:rsidP="001E0753">
      <w:pPr>
        <w:pStyle w:val="Paragraphedeliste"/>
        <w:numPr>
          <w:ilvl w:val="0"/>
          <w:numId w:val="17"/>
        </w:numPr>
        <w:jc w:val="both"/>
        <w:rPr>
          <w:rFonts w:asciiTheme="majorHAnsi" w:hAnsiTheme="majorHAnsi" w:cstheme="majorHAnsi"/>
          <w:i/>
          <w:iCs/>
          <w:sz w:val="22"/>
          <w:szCs w:val="22"/>
        </w:rPr>
      </w:pPr>
      <w:r w:rsidRPr="001E0753">
        <w:rPr>
          <w:i/>
          <w:iCs/>
          <w:sz w:val="22"/>
          <w:szCs w:val="22"/>
          <w:lang w:val="fr"/>
        </w:rPr>
        <w:t>Effectuer une évaluation des besoins pour déterminer les besoins et les attentes des participants en matière de</w:t>
      </w:r>
      <w:r w:rsidR="00AD1D3D">
        <w:rPr>
          <w:i/>
          <w:iCs/>
          <w:sz w:val="22"/>
          <w:szCs w:val="22"/>
          <w:lang w:val="fr"/>
        </w:rPr>
        <w:t xml:space="preserve"> la </w:t>
      </w:r>
      <w:r w:rsidR="00AD1D3D" w:rsidRPr="001E0753">
        <w:rPr>
          <w:i/>
          <w:iCs/>
          <w:sz w:val="22"/>
          <w:szCs w:val="22"/>
          <w:lang w:val="fr"/>
        </w:rPr>
        <w:t>formation</w:t>
      </w:r>
      <w:r w:rsidRPr="001E0753">
        <w:rPr>
          <w:i/>
          <w:iCs/>
          <w:sz w:val="22"/>
          <w:szCs w:val="22"/>
          <w:lang w:val="fr"/>
        </w:rPr>
        <w:t>.</w:t>
      </w:r>
    </w:p>
    <w:p w14:paraId="0CF49663" w14:textId="7956D585" w:rsidR="000D4A0F" w:rsidRPr="00BB5FD8" w:rsidRDefault="000D4A0F" w:rsidP="001E0753">
      <w:pPr>
        <w:pStyle w:val="Paragraphedeliste"/>
        <w:numPr>
          <w:ilvl w:val="0"/>
          <w:numId w:val="17"/>
        </w:numPr>
        <w:jc w:val="both"/>
        <w:rPr>
          <w:rFonts w:asciiTheme="majorHAnsi" w:hAnsiTheme="majorHAnsi" w:cstheme="majorHAnsi"/>
          <w:i/>
          <w:iCs/>
          <w:sz w:val="22"/>
          <w:szCs w:val="22"/>
        </w:rPr>
      </w:pPr>
      <w:r w:rsidRPr="00BC5FEF">
        <w:rPr>
          <w:i/>
          <w:iCs/>
          <w:color w:val="000000" w:themeColor="text1"/>
          <w:sz w:val="22"/>
          <w:szCs w:val="22"/>
          <w:lang w:val="fr"/>
        </w:rPr>
        <w:t xml:space="preserve">Élaborer </w:t>
      </w:r>
      <w:r w:rsidR="006C07FE" w:rsidRPr="00BC5FEF">
        <w:rPr>
          <w:color w:val="000000" w:themeColor="text1"/>
        </w:rPr>
        <w:t xml:space="preserve">une note conceptuelle incluant </w:t>
      </w:r>
      <w:r w:rsidRPr="00BC5FEF">
        <w:rPr>
          <w:i/>
          <w:iCs/>
          <w:color w:val="000000" w:themeColor="text1"/>
          <w:sz w:val="22"/>
          <w:szCs w:val="22"/>
          <w:lang w:val="fr"/>
        </w:rPr>
        <w:t>un plan de formation détaillé</w:t>
      </w:r>
      <w:r w:rsidR="006613B5" w:rsidRPr="00BC5FEF">
        <w:rPr>
          <w:i/>
          <w:iCs/>
          <w:color w:val="000000" w:themeColor="text1"/>
          <w:sz w:val="22"/>
          <w:szCs w:val="22"/>
          <w:lang w:val="fr"/>
        </w:rPr>
        <w:t xml:space="preserve"> (agen</w:t>
      </w:r>
      <w:r w:rsidR="00ED5BC0" w:rsidRPr="00BC5FEF">
        <w:rPr>
          <w:i/>
          <w:iCs/>
          <w:color w:val="000000" w:themeColor="text1"/>
          <w:sz w:val="22"/>
          <w:szCs w:val="22"/>
          <w:lang w:val="fr"/>
        </w:rPr>
        <w:t>da)</w:t>
      </w:r>
      <w:r w:rsidRPr="00BC5FEF">
        <w:rPr>
          <w:i/>
          <w:iCs/>
          <w:color w:val="000000" w:themeColor="text1"/>
          <w:sz w:val="22"/>
          <w:szCs w:val="22"/>
          <w:lang w:val="fr"/>
        </w:rPr>
        <w:t xml:space="preserve"> qui comprend les principa</w:t>
      </w:r>
      <w:r w:rsidR="00AD1D3D" w:rsidRPr="00BC5FEF">
        <w:rPr>
          <w:i/>
          <w:iCs/>
          <w:color w:val="000000" w:themeColor="text1"/>
          <w:sz w:val="22"/>
          <w:szCs w:val="22"/>
          <w:lang w:val="fr"/>
        </w:rPr>
        <w:t>les séquences pédagogiques</w:t>
      </w:r>
      <w:r w:rsidR="00AD1D3D">
        <w:rPr>
          <w:i/>
          <w:iCs/>
          <w:sz w:val="22"/>
          <w:szCs w:val="22"/>
          <w:lang w:val="fr"/>
        </w:rPr>
        <w:t xml:space="preserve">, avec les </w:t>
      </w:r>
      <w:r w:rsidRPr="001E0753">
        <w:rPr>
          <w:i/>
          <w:iCs/>
          <w:sz w:val="22"/>
          <w:szCs w:val="22"/>
          <w:lang w:val="fr"/>
        </w:rPr>
        <w:t xml:space="preserve">activités et </w:t>
      </w:r>
      <w:r w:rsidR="00AD1D3D">
        <w:rPr>
          <w:i/>
          <w:iCs/>
          <w:sz w:val="22"/>
          <w:szCs w:val="22"/>
          <w:lang w:val="fr"/>
        </w:rPr>
        <w:t xml:space="preserve">les </w:t>
      </w:r>
      <w:r w:rsidRPr="001E0753">
        <w:rPr>
          <w:i/>
          <w:iCs/>
          <w:sz w:val="22"/>
          <w:szCs w:val="22"/>
          <w:lang w:val="fr"/>
        </w:rPr>
        <w:t>résultats d’apprentissage de la formation.</w:t>
      </w:r>
    </w:p>
    <w:p w14:paraId="1E39FFE0" w14:textId="77777777" w:rsidR="000D4A0F" w:rsidRPr="00BB5FD8" w:rsidRDefault="000D4A0F" w:rsidP="001E0753">
      <w:pPr>
        <w:pStyle w:val="Paragraphedeliste"/>
        <w:numPr>
          <w:ilvl w:val="0"/>
          <w:numId w:val="17"/>
        </w:numPr>
        <w:jc w:val="both"/>
        <w:rPr>
          <w:rFonts w:asciiTheme="majorHAnsi" w:hAnsiTheme="majorHAnsi" w:cstheme="majorHAnsi"/>
          <w:i/>
          <w:iCs/>
          <w:sz w:val="22"/>
          <w:szCs w:val="22"/>
        </w:rPr>
      </w:pPr>
      <w:r w:rsidRPr="001E0753">
        <w:rPr>
          <w:i/>
          <w:iCs/>
          <w:sz w:val="22"/>
          <w:szCs w:val="22"/>
          <w:lang w:val="fr"/>
        </w:rPr>
        <w:t>Élaborer un programme de formation qui comprend du matériel pertinent, des études de cas et des exercices pratiques.</w:t>
      </w:r>
    </w:p>
    <w:p w14:paraId="3219F8C9" w14:textId="7BC8AA7E" w:rsidR="000D4A0F" w:rsidRPr="00BB5FD8" w:rsidRDefault="000D4A0F" w:rsidP="001E0753">
      <w:pPr>
        <w:pStyle w:val="Paragraphedeliste"/>
        <w:numPr>
          <w:ilvl w:val="0"/>
          <w:numId w:val="17"/>
        </w:numPr>
        <w:jc w:val="both"/>
        <w:rPr>
          <w:rFonts w:asciiTheme="majorHAnsi" w:hAnsiTheme="majorHAnsi" w:cstheme="majorHAnsi"/>
          <w:i/>
          <w:iCs/>
          <w:sz w:val="22"/>
          <w:szCs w:val="22"/>
        </w:rPr>
      </w:pPr>
      <w:r w:rsidRPr="001E0753">
        <w:rPr>
          <w:i/>
          <w:iCs/>
          <w:sz w:val="22"/>
          <w:szCs w:val="22"/>
          <w:lang w:val="fr"/>
        </w:rPr>
        <w:t>Offrir la séance de formation en personne, en utilisant des méthodes participatives et interactives.</w:t>
      </w:r>
    </w:p>
    <w:p w14:paraId="220A7763" w14:textId="224E9C7C" w:rsidR="00AD1D3D" w:rsidRPr="00AD1D3D" w:rsidRDefault="00AD1D3D" w:rsidP="001E0753">
      <w:pPr>
        <w:pStyle w:val="Paragraphedeliste"/>
        <w:numPr>
          <w:ilvl w:val="0"/>
          <w:numId w:val="17"/>
        </w:numPr>
        <w:jc w:val="both"/>
        <w:rPr>
          <w:i/>
          <w:iCs/>
          <w:sz w:val="22"/>
          <w:szCs w:val="22"/>
          <w:lang w:val="fr"/>
        </w:rPr>
      </w:pPr>
      <w:r w:rsidRPr="00AD1D3D">
        <w:rPr>
          <w:i/>
          <w:iCs/>
          <w:sz w:val="22"/>
          <w:szCs w:val="22"/>
          <w:lang w:val="fr"/>
        </w:rPr>
        <w:t>Élaborer</w:t>
      </w:r>
      <w:r>
        <w:rPr>
          <w:i/>
          <w:iCs/>
          <w:sz w:val="22"/>
          <w:szCs w:val="22"/>
          <w:lang w:val="fr"/>
        </w:rPr>
        <w:t xml:space="preserve"> le rapport de la formation avec les principales recommandations </w:t>
      </w:r>
      <w:r w:rsidRPr="00AD1D3D">
        <w:rPr>
          <w:i/>
          <w:iCs/>
          <w:sz w:val="22"/>
          <w:szCs w:val="22"/>
          <w:lang w:val="fr"/>
        </w:rPr>
        <w:t xml:space="preserve"> </w:t>
      </w:r>
    </w:p>
    <w:p w14:paraId="296A0AA4" w14:textId="781DDE52" w:rsidR="000D4A0F" w:rsidRPr="00BB5FD8" w:rsidRDefault="000D4A0F" w:rsidP="001E0753">
      <w:pPr>
        <w:pStyle w:val="Paragraphedeliste"/>
        <w:numPr>
          <w:ilvl w:val="0"/>
          <w:numId w:val="17"/>
        </w:numPr>
        <w:jc w:val="both"/>
        <w:rPr>
          <w:rFonts w:asciiTheme="majorHAnsi" w:hAnsiTheme="majorHAnsi" w:cstheme="majorHAnsi"/>
          <w:i/>
          <w:iCs/>
          <w:sz w:val="22"/>
          <w:szCs w:val="22"/>
        </w:rPr>
      </w:pPr>
      <w:r w:rsidRPr="001E0753">
        <w:rPr>
          <w:i/>
          <w:iCs/>
          <w:sz w:val="22"/>
          <w:szCs w:val="22"/>
          <w:lang w:val="fr"/>
        </w:rPr>
        <w:t>Fournir une rétroaction et un encadrement aux participants sur leurs propositions</w:t>
      </w:r>
      <w:r w:rsidR="00AD1D3D">
        <w:rPr>
          <w:i/>
          <w:iCs/>
          <w:sz w:val="22"/>
          <w:szCs w:val="22"/>
          <w:lang w:val="fr"/>
        </w:rPr>
        <w:t xml:space="preserve"> </w:t>
      </w:r>
      <w:r w:rsidRPr="001E0753">
        <w:rPr>
          <w:i/>
          <w:iCs/>
          <w:sz w:val="22"/>
          <w:szCs w:val="22"/>
          <w:lang w:val="fr"/>
        </w:rPr>
        <w:t>de subvention.</w:t>
      </w:r>
    </w:p>
    <w:p w14:paraId="6B08F8EE" w14:textId="77777777" w:rsidR="000D4A0F" w:rsidRPr="00BB5FD8" w:rsidRDefault="000D4A0F" w:rsidP="000D4A0F">
      <w:pPr>
        <w:jc w:val="both"/>
        <w:rPr>
          <w:rFonts w:asciiTheme="majorHAnsi" w:hAnsiTheme="majorHAnsi" w:cstheme="majorHAnsi"/>
          <w:b/>
          <w:bCs/>
        </w:rPr>
      </w:pPr>
    </w:p>
    <w:p w14:paraId="3B90B4C1" w14:textId="585B837C" w:rsidR="001E0753" w:rsidRPr="00BB5FD8" w:rsidRDefault="001E0753" w:rsidP="001E0753">
      <w:pPr>
        <w:jc w:val="both"/>
        <w:rPr>
          <w:rFonts w:asciiTheme="majorHAnsi" w:hAnsiTheme="majorHAnsi" w:cstheme="majorHAnsi"/>
          <w:sz w:val="22"/>
          <w:szCs w:val="22"/>
        </w:rPr>
      </w:pPr>
      <w:r w:rsidRPr="001E0753">
        <w:rPr>
          <w:sz w:val="22"/>
          <w:szCs w:val="22"/>
          <w:lang w:val="fr"/>
        </w:rPr>
        <w:t>Le ou l</w:t>
      </w:r>
      <w:r w:rsidR="00BB5FD8">
        <w:rPr>
          <w:sz w:val="22"/>
          <w:szCs w:val="22"/>
          <w:lang w:val="fr"/>
        </w:rPr>
        <w:t>a</w:t>
      </w:r>
      <w:r w:rsidRPr="001E0753">
        <w:rPr>
          <w:sz w:val="22"/>
          <w:szCs w:val="22"/>
          <w:lang w:val="fr"/>
        </w:rPr>
        <w:t xml:space="preserve"> </w:t>
      </w:r>
      <w:r w:rsidR="00BB5FD8" w:rsidRPr="001E0753">
        <w:rPr>
          <w:sz w:val="22"/>
          <w:szCs w:val="22"/>
          <w:lang w:val="fr"/>
        </w:rPr>
        <w:t>consultant</w:t>
      </w:r>
      <w:r w:rsidR="00BB5FD8">
        <w:rPr>
          <w:sz w:val="22"/>
          <w:szCs w:val="22"/>
          <w:lang w:val="fr"/>
        </w:rPr>
        <w:t>e</w:t>
      </w:r>
      <w:r w:rsidRPr="001E0753">
        <w:rPr>
          <w:sz w:val="22"/>
          <w:szCs w:val="22"/>
          <w:lang w:val="fr"/>
        </w:rPr>
        <w:t xml:space="preserve"> </w:t>
      </w:r>
      <w:r w:rsidR="00BB5FD8" w:rsidRPr="001E0753">
        <w:rPr>
          <w:sz w:val="22"/>
          <w:szCs w:val="22"/>
          <w:lang w:val="fr"/>
        </w:rPr>
        <w:t>sélectionné</w:t>
      </w:r>
      <w:r w:rsidR="00BB5FD8">
        <w:rPr>
          <w:sz w:val="22"/>
          <w:szCs w:val="22"/>
          <w:lang w:val="fr"/>
        </w:rPr>
        <w:t>e</w:t>
      </w:r>
      <w:r w:rsidRPr="001E0753">
        <w:rPr>
          <w:sz w:val="22"/>
          <w:szCs w:val="22"/>
          <w:lang w:val="fr"/>
        </w:rPr>
        <w:t xml:space="preserve"> seront chargés d’animer les séances de formation, de préparer le matériel de formation et de fournir un encadrement individuel aux participants</w:t>
      </w:r>
      <w:r w:rsidR="00ED5BC0">
        <w:rPr>
          <w:sz w:val="22"/>
          <w:szCs w:val="22"/>
          <w:lang w:val="fr"/>
        </w:rPr>
        <w:t xml:space="preserve"> pendant la formation</w:t>
      </w:r>
      <w:r w:rsidRPr="001E0753">
        <w:rPr>
          <w:sz w:val="22"/>
          <w:szCs w:val="22"/>
          <w:lang w:val="fr"/>
        </w:rPr>
        <w:t xml:space="preserve">. Ils travailleront en étroite collaboration avec l’équipe organisatrice et rendront compte aux chefs de projet ITPC-MENA et </w:t>
      </w:r>
      <w:r w:rsidR="00ED5BC0">
        <w:rPr>
          <w:sz w:val="22"/>
          <w:szCs w:val="22"/>
          <w:lang w:val="fr"/>
        </w:rPr>
        <w:t>ALCS</w:t>
      </w:r>
      <w:r>
        <w:rPr>
          <w:sz w:val="22"/>
          <w:szCs w:val="22"/>
          <w:lang w:val="fr"/>
        </w:rPr>
        <w:t xml:space="preserve">. </w:t>
      </w:r>
    </w:p>
    <w:p w14:paraId="20AB4949" w14:textId="77777777" w:rsidR="00736793" w:rsidRPr="00BB5FD8" w:rsidRDefault="00736793" w:rsidP="001E0753">
      <w:pPr>
        <w:jc w:val="both"/>
        <w:rPr>
          <w:rFonts w:asciiTheme="majorHAnsi" w:hAnsiTheme="majorHAnsi" w:cstheme="majorHAnsi"/>
          <w:b/>
          <w:bCs/>
        </w:rPr>
      </w:pPr>
    </w:p>
    <w:p w14:paraId="2D337F94" w14:textId="7F7E05A3" w:rsidR="001E0753" w:rsidRPr="001E0753" w:rsidRDefault="000D4A0F" w:rsidP="001E0753">
      <w:pPr>
        <w:jc w:val="both"/>
        <w:rPr>
          <w:rFonts w:asciiTheme="majorHAnsi" w:hAnsiTheme="majorHAnsi" w:cstheme="majorHAnsi"/>
          <w:b/>
          <w:bCs/>
          <w:lang w:val="en-US"/>
        </w:rPr>
      </w:pPr>
      <w:r w:rsidRPr="000D4A0F">
        <w:rPr>
          <w:b/>
          <w:bCs/>
          <w:lang w:val="fr"/>
        </w:rPr>
        <w:t xml:space="preserve">Extrants attendus </w:t>
      </w:r>
      <w:r w:rsidR="001E0753">
        <w:rPr>
          <w:b/>
          <w:bCs/>
          <w:lang w:val="fr"/>
        </w:rPr>
        <w:t>–</w:t>
      </w:r>
      <w:r>
        <w:rPr>
          <w:lang w:val="fr"/>
        </w:rPr>
        <w:t xml:space="preserve"> </w:t>
      </w:r>
      <w:r w:rsidR="001E0753" w:rsidRPr="001E0753">
        <w:rPr>
          <w:b/>
          <w:bCs/>
          <w:lang w:val="fr"/>
        </w:rPr>
        <w:t>Produits livrables :</w:t>
      </w:r>
    </w:p>
    <w:p w14:paraId="3A644858" w14:textId="7E136193" w:rsidR="001E0753" w:rsidRPr="00BC5FEF" w:rsidRDefault="004B18FA" w:rsidP="001E0753">
      <w:pPr>
        <w:pStyle w:val="Paragraphedeliste"/>
        <w:numPr>
          <w:ilvl w:val="0"/>
          <w:numId w:val="16"/>
        </w:numPr>
        <w:jc w:val="both"/>
        <w:rPr>
          <w:rFonts w:asciiTheme="majorHAnsi" w:hAnsiTheme="majorHAnsi" w:cstheme="majorHAnsi"/>
          <w:i/>
          <w:iCs/>
          <w:color w:val="000000" w:themeColor="text1"/>
          <w:sz w:val="22"/>
          <w:szCs w:val="22"/>
        </w:rPr>
      </w:pPr>
      <w:r w:rsidRPr="00BC5FEF">
        <w:rPr>
          <w:i/>
          <w:iCs/>
          <w:color w:val="000000" w:themeColor="text1"/>
          <w:sz w:val="22"/>
          <w:szCs w:val="22"/>
          <w:lang w:val="fr"/>
        </w:rPr>
        <w:t>Une note conceptuelle inclu</w:t>
      </w:r>
      <w:r w:rsidR="00FC5DD1" w:rsidRPr="00BC5FEF">
        <w:rPr>
          <w:i/>
          <w:iCs/>
          <w:color w:val="000000" w:themeColor="text1"/>
          <w:sz w:val="22"/>
          <w:szCs w:val="22"/>
          <w:lang w:val="fr"/>
        </w:rPr>
        <w:t>an</w:t>
      </w:r>
      <w:r w:rsidRPr="00BC5FEF">
        <w:rPr>
          <w:i/>
          <w:iCs/>
          <w:color w:val="000000" w:themeColor="text1"/>
          <w:sz w:val="22"/>
          <w:szCs w:val="22"/>
          <w:lang w:val="fr"/>
        </w:rPr>
        <w:t xml:space="preserve">t </w:t>
      </w:r>
      <w:r w:rsidR="001E0753" w:rsidRPr="00BC5FEF">
        <w:rPr>
          <w:i/>
          <w:iCs/>
          <w:color w:val="000000" w:themeColor="text1"/>
          <w:sz w:val="22"/>
          <w:szCs w:val="22"/>
          <w:lang w:val="fr"/>
        </w:rPr>
        <w:t>Un plan et un calendrier de formation détaillés</w:t>
      </w:r>
    </w:p>
    <w:p w14:paraId="343834F5" w14:textId="77777777" w:rsidR="001E0753" w:rsidRPr="00BB5FD8" w:rsidRDefault="001E0753" w:rsidP="001E0753">
      <w:pPr>
        <w:pStyle w:val="Paragraphedeliste"/>
        <w:numPr>
          <w:ilvl w:val="0"/>
          <w:numId w:val="16"/>
        </w:numPr>
        <w:jc w:val="both"/>
        <w:rPr>
          <w:rFonts w:asciiTheme="majorHAnsi" w:hAnsiTheme="majorHAnsi" w:cstheme="majorHAnsi"/>
          <w:i/>
          <w:iCs/>
          <w:sz w:val="22"/>
          <w:szCs w:val="22"/>
        </w:rPr>
      </w:pPr>
      <w:r w:rsidRPr="00BC5FEF">
        <w:rPr>
          <w:i/>
          <w:iCs/>
          <w:color w:val="000000" w:themeColor="text1"/>
          <w:sz w:val="22"/>
          <w:szCs w:val="22"/>
          <w:lang w:val="fr"/>
        </w:rPr>
        <w:t xml:space="preserve">Matériel de formation, y compris des </w:t>
      </w:r>
      <w:r w:rsidRPr="001E0753">
        <w:rPr>
          <w:i/>
          <w:iCs/>
          <w:sz w:val="22"/>
          <w:szCs w:val="22"/>
          <w:lang w:val="fr"/>
        </w:rPr>
        <w:t>présentations, des documents et des exercices</w:t>
      </w:r>
    </w:p>
    <w:p w14:paraId="6B545E70" w14:textId="77777777" w:rsidR="001E0753" w:rsidRPr="00BB5FD8" w:rsidRDefault="001E0753" w:rsidP="001E0753">
      <w:pPr>
        <w:pStyle w:val="Paragraphedeliste"/>
        <w:numPr>
          <w:ilvl w:val="0"/>
          <w:numId w:val="16"/>
        </w:numPr>
        <w:jc w:val="both"/>
        <w:rPr>
          <w:rFonts w:asciiTheme="majorHAnsi" w:hAnsiTheme="majorHAnsi" w:cstheme="majorHAnsi"/>
          <w:i/>
          <w:iCs/>
          <w:sz w:val="22"/>
          <w:szCs w:val="22"/>
        </w:rPr>
      </w:pPr>
      <w:r w:rsidRPr="001E0753">
        <w:rPr>
          <w:i/>
          <w:iCs/>
          <w:sz w:val="22"/>
          <w:szCs w:val="22"/>
          <w:lang w:val="fr"/>
        </w:rPr>
        <w:t>Évaluations avant et après la formation</w:t>
      </w:r>
    </w:p>
    <w:p w14:paraId="0E52153D" w14:textId="047AD91B" w:rsidR="001E0753" w:rsidRPr="00BB5FD8" w:rsidRDefault="001E0753" w:rsidP="00ED5BC0">
      <w:pPr>
        <w:pStyle w:val="Paragraphedeliste"/>
        <w:numPr>
          <w:ilvl w:val="0"/>
          <w:numId w:val="16"/>
        </w:numPr>
        <w:jc w:val="both"/>
        <w:rPr>
          <w:rFonts w:asciiTheme="majorHAnsi" w:hAnsiTheme="majorHAnsi" w:cstheme="majorHAnsi"/>
          <w:i/>
          <w:iCs/>
          <w:sz w:val="22"/>
          <w:szCs w:val="22"/>
        </w:rPr>
      </w:pPr>
      <w:r w:rsidRPr="001E0753">
        <w:rPr>
          <w:i/>
          <w:iCs/>
          <w:sz w:val="22"/>
          <w:szCs w:val="22"/>
          <w:lang w:val="fr"/>
        </w:rPr>
        <w:t>Séances de coaching individuel avec les participants</w:t>
      </w:r>
    </w:p>
    <w:p w14:paraId="2C6309EA" w14:textId="77777777" w:rsidR="000D4A0F" w:rsidRPr="00BB5FD8" w:rsidRDefault="000D4A0F" w:rsidP="000D4A0F">
      <w:pPr>
        <w:jc w:val="both"/>
        <w:rPr>
          <w:rFonts w:asciiTheme="majorHAnsi" w:hAnsiTheme="majorHAnsi" w:cstheme="majorHAnsi"/>
        </w:rPr>
      </w:pPr>
    </w:p>
    <w:p w14:paraId="58794E73" w14:textId="2977709D" w:rsidR="000D4A0F" w:rsidRPr="00BB5FD8" w:rsidRDefault="00DE527C" w:rsidP="000D4A0F">
      <w:pPr>
        <w:jc w:val="both"/>
        <w:rPr>
          <w:rFonts w:asciiTheme="majorHAnsi" w:hAnsiTheme="majorHAnsi" w:cstheme="majorHAnsi"/>
          <w:b/>
          <w:bCs/>
        </w:rPr>
      </w:pPr>
      <w:r w:rsidRPr="000D4A0F">
        <w:rPr>
          <w:b/>
          <w:bCs/>
          <w:lang w:val="fr"/>
        </w:rPr>
        <w:t>Qualifications :</w:t>
      </w:r>
    </w:p>
    <w:p w14:paraId="40C37B80" w14:textId="3752E264" w:rsidR="000D4A0F" w:rsidRPr="00BB5FD8" w:rsidRDefault="000D4A0F" w:rsidP="000D4A0F">
      <w:pPr>
        <w:jc w:val="both"/>
        <w:rPr>
          <w:rFonts w:asciiTheme="majorHAnsi" w:hAnsiTheme="majorHAnsi" w:cstheme="majorHAnsi"/>
          <w:sz w:val="22"/>
          <w:szCs w:val="22"/>
        </w:rPr>
      </w:pPr>
      <w:r w:rsidRPr="00736793">
        <w:rPr>
          <w:sz w:val="22"/>
          <w:szCs w:val="22"/>
          <w:lang w:val="fr"/>
        </w:rPr>
        <w:t xml:space="preserve">Le </w:t>
      </w:r>
      <w:proofErr w:type="spellStart"/>
      <w:proofErr w:type="gramStart"/>
      <w:r w:rsidRPr="00736793">
        <w:rPr>
          <w:sz w:val="22"/>
          <w:szCs w:val="22"/>
          <w:lang w:val="fr"/>
        </w:rPr>
        <w:t>consultant</w:t>
      </w:r>
      <w:r w:rsidR="00FC5DD1">
        <w:rPr>
          <w:sz w:val="22"/>
          <w:szCs w:val="22"/>
          <w:lang w:val="fr"/>
        </w:rPr>
        <w:t>.e</w:t>
      </w:r>
      <w:proofErr w:type="spellEnd"/>
      <w:proofErr w:type="gramEnd"/>
      <w:r w:rsidRPr="00736793">
        <w:rPr>
          <w:sz w:val="22"/>
          <w:szCs w:val="22"/>
          <w:lang w:val="fr"/>
        </w:rPr>
        <w:t xml:space="preserve"> idéal doit avoir les qualifications </w:t>
      </w:r>
      <w:r w:rsidR="00DF53F9" w:rsidRPr="00736793">
        <w:rPr>
          <w:sz w:val="22"/>
          <w:szCs w:val="22"/>
          <w:lang w:val="fr"/>
        </w:rPr>
        <w:t>suivantes :</w:t>
      </w:r>
    </w:p>
    <w:p w14:paraId="2665C2A8" w14:textId="0CBD6989" w:rsidR="000D4A0F" w:rsidRPr="00BB5FD8" w:rsidRDefault="000D4A0F" w:rsidP="000D4A0F">
      <w:pPr>
        <w:pStyle w:val="Paragraphedeliste"/>
        <w:numPr>
          <w:ilvl w:val="0"/>
          <w:numId w:val="10"/>
        </w:numPr>
        <w:jc w:val="both"/>
        <w:rPr>
          <w:rFonts w:asciiTheme="majorHAnsi" w:hAnsiTheme="majorHAnsi" w:cstheme="majorHAnsi"/>
          <w:i/>
          <w:iCs/>
          <w:sz w:val="22"/>
          <w:szCs w:val="22"/>
        </w:rPr>
      </w:pPr>
      <w:r w:rsidRPr="00736793">
        <w:rPr>
          <w:i/>
          <w:iCs/>
          <w:sz w:val="22"/>
          <w:szCs w:val="22"/>
          <w:lang w:val="fr"/>
        </w:rPr>
        <w:t>Un minimum de 5 ans d’expérience dans la rédaction et l’examen de propositions de subvention, de préférence pour des organisations régionales ou internationales.</w:t>
      </w:r>
    </w:p>
    <w:p w14:paraId="28E962C0" w14:textId="1CA2F2D7" w:rsidR="000D4A0F" w:rsidRPr="00BB5FD8" w:rsidRDefault="000D4A0F" w:rsidP="000D4A0F">
      <w:pPr>
        <w:pStyle w:val="Paragraphedeliste"/>
        <w:numPr>
          <w:ilvl w:val="0"/>
          <w:numId w:val="10"/>
        </w:numPr>
        <w:jc w:val="both"/>
        <w:rPr>
          <w:rFonts w:asciiTheme="majorHAnsi" w:hAnsiTheme="majorHAnsi" w:cstheme="majorHAnsi"/>
          <w:i/>
          <w:iCs/>
          <w:sz w:val="22"/>
          <w:szCs w:val="22"/>
        </w:rPr>
      </w:pPr>
      <w:r w:rsidRPr="00736793">
        <w:rPr>
          <w:i/>
          <w:iCs/>
          <w:sz w:val="22"/>
          <w:szCs w:val="22"/>
          <w:lang w:val="fr"/>
        </w:rPr>
        <w:t>Une expérience éprouvée dans la prestation de programmes de formation réussis sur la rédaction de demandes de subvention.</w:t>
      </w:r>
    </w:p>
    <w:p w14:paraId="1C7E30AD" w14:textId="5A3A7037" w:rsidR="000D4A0F" w:rsidRPr="00BB5FD8" w:rsidRDefault="000D4A0F" w:rsidP="000D4A0F">
      <w:pPr>
        <w:pStyle w:val="Paragraphedeliste"/>
        <w:numPr>
          <w:ilvl w:val="0"/>
          <w:numId w:val="10"/>
        </w:numPr>
        <w:jc w:val="both"/>
        <w:rPr>
          <w:rFonts w:asciiTheme="majorHAnsi" w:hAnsiTheme="majorHAnsi" w:cstheme="majorHAnsi"/>
          <w:i/>
          <w:iCs/>
          <w:sz w:val="22"/>
          <w:szCs w:val="22"/>
        </w:rPr>
      </w:pPr>
      <w:r w:rsidRPr="00736793">
        <w:rPr>
          <w:i/>
          <w:iCs/>
          <w:sz w:val="22"/>
          <w:szCs w:val="22"/>
          <w:lang w:val="fr"/>
        </w:rPr>
        <w:t>Excellentes compétences en communication et en animation, avec la capacité d’engager et de motiver divers groupes de participants.</w:t>
      </w:r>
    </w:p>
    <w:p w14:paraId="301E16EB" w14:textId="1F42B20C" w:rsidR="000D4A0F" w:rsidRPr="00BB5FD8" w:rsidRDefault="000D4A0F" w:rsidP="000D4A0F">
      <w:pPr>
        <w:pStyle w:val="Paragraphedeliste"/>
        <w:numPr>
          <w:ilvl w:val="0"/>
          <w:numId w:val="10"/>
        </w:numPr>
        <w:jc w:val="both"/>
        <w:rPr>
          <w:rFonts w:asciiTheme="majorHAnsi" w:hAnsiTheme="majorHAnsi" w:cstheme="majorHAnsi"/>
          <w:i/>
          <w:iCs/>
          <w:sz w:val="22"/>
          <w:szCs w:val="22"/>
        </w:rPr>
      </w:pPr>
      <w:r w:rsidRPr="00736793">
        <w:rPr>
          <w:i/>
          <w:iCs/>
          <w:sz w:val="22"/>
          <w:szCs w:val="22"/>
          <w:lang w:val="fr"/>
        </w:rPr>
        <w:t>Connaissance des besoins des donateurs et des priorités de financement dans la région.</w:t>
      </w:r>
    </w:p>
    <w:p w14:paraId="0D620672" w14:textId="75C095CB" w:rsidR="000D4A0F" w:rsidRPr="00BC5FEF" w:rsidRDefault="000D4A0F" w:rsidP="000D4A0F">
      <w:pPr>
        <w:pStyle w:val="Paragraphedeliste"/>
        <w:numPr>
          <w:ilvl w:val="0"/>
          <w:numId w:val="10"/>
        </w:numPr>
        <w:jc w:val="both"/>
        <w:rPr>
          <w:rFonts w:asciiTheme="majorHAnsi" w:hAnsiTheme="majorHAnsi" w:cstheme="majorHAnsi"/>
          <w:i/>
          <w:iCs/>
          <w:color w:val="000000" w:themeColor="text1"/>
          <w:sz w:val="22"/>
          <w:szCs w:val="22"/>
        </w:rPr>
      </w:pPr>
      <w:r w:rsidRPr="00736793">
        <w:rPr>
          <w:i/>
          <w:iCs/>
          <w:sz w:val="22"/>
          <w:szCs w:val="22"/>
          <w:lang w:val="fr"/>
        </w:rPr>
        <w:t xml:space="preserve">Maîtrise de </w:t>
      </w:r>
      <w:r w:rsidR="00ED5BC0">
        <w:rPr>
          <w:i/>
          <w:iCs/>
          <w:sz w:val="22"/>
          <w:szCs w:val="22"/>
          <w:lang w:val="fr"/>
        </w:rPr>
        <w:t>l’arabe et</w:t>
      </w:r>
      <w:r>
        <w:rPr>
          <w:lang w:val="fr"/>
        </w:rPr>
        <w:t xml:space="preserve"> du</w:t>
      </w:r>
      <w:r w:rsidRPr="00736793">
        <w:rPr>
          <w:i/>
          <w:iCs/>
          <w:sz w:val="22"/>
          <w:szCs w:val="22"/>
          <w:lang w:val="fr"/>
        </w:rPr>
        <w:t xml:space="preserve"> français, avec d’excellentes compétences rédactionnelles dans les </w:t>
      </w:r>
      <w:r w:rsidRPr="00BC5FEF">
        <w:rPr>
          <w:i/>
          <w:iCs/>
          <w:color w:val="000000" w:themeColor="text1"/>
          <w:sz w:val="22"/>
          <w:szCs w:val="22"/>
          <w:lang w:val="fr"/>
        </w:rPr>
        <w:t>deux langues.</w:t>
      </w:r>
    </w:p>
    <w:p w14:paraId="5B8B8DCD" w14:textId="34515495" w:rsidR="001411CB" w:rsidRPr="00BC5FEF" w:rsidRDefault="001411CB" w:rsidP="000D4A0F">
      <w:pPr>
        <w:pStyle w:val="Paragraphedeliste"/>
        <w:numPr>
          <w:ilvl w:val="0"/>
          <w:numId w:val="10"/>
        </w:numPr>
        <w:jc w:val="both"/>
        <w:rPr>
          <w:rFonts w:asciiTheme="majorHAnsi" w:hAnsiTheme="majorHAnsi" w:cstheme="majorHAnsi"/>
          <w:i/>
          <w:iCs/>
          <w:color w:val="000000" w:themeColor="text1"/>
          <w:sz w:val="22"/>
          <w:szCs w:val="22"/>
        </w:rPr>
      </w:pPr>
      <w:r w:rsidRPr="00BC5FEF">
        <w:rPr>
          <w:color w:val="000000" w:themeColor="text1"/>
        </w:rPr>
        <w:t>Avoir une solide connaissance en lien avec l’environnement des organisations de la société civile</w:t>
      </w:r>
      <w:r w:rsidR="00FC5DD1" w:rsidRPr="00BC5FEF">
        <w:rPr>
          <w:color w:val="000000" w:themeColor="text1"/>
        </w:rPr>
        <w:t xml:space="preserve"> de la région MENA</w:t>
      </w:r>
      <w:r w:rsidRPr="00BC5FEF">
        <w:rPr>
          <w:color w:val="000000" w:themeColor="text1"/>
        </w:rPr>
        <w:t xml:space="preserve"> ; </w:t>
      </w:r>
    </w:p>
    <w:p w14:paraId="014236B1" w14:textId="2F26ABFA" w:rsidR="001411CB" w:rsidRPr="00BC5FEF" w:rsidRDefault="001411CB" w:rsidP="000D4A0F">
      <w:pPr>
        <w:pStyle w:val="Paragraphedeliste"/>
        <w:numPr>
          <w:ilvl w:val="0"/>
          <w:numId w:val="10"/>
        </w:numPr>
        <w:jc w:val="both"/>
        <w:rPr>
          <w:rFonts w:asciiTheme="majorHAnsi" w:hAnsiTheme="majorHAnsi" w:cstheme="majorHAnsi"/>
          <w:i/>
          <w:iCs/>
          <w:color w:val="000000" w:themeColor="text1"/>
          <w:sz w:val="22"/>
          <w:szCs w:val="22"/>
        </w:rPr>
      </w:pPr>
      <w:r w:rsidRPr="00BC5FEF">
        <w:rPr>
          <w:color w:val="000000" w:themeColor="text1"/>
        </w:rPr>
        <w:t xml:space="preserve">Connaissance et expertise dans le domaine du développement associatif, éventuellement de la composante des financements ; </w:t>
      </w:r>
    </w:p>
    <w:p w14:paraId="5EC3D370" w14:textId="5438AA9C" w:rsidR="00E45B12" w:rsidRPr="00BC5FEF" w:rsidRDefault="00E45B12" w:rsidP="000D4A0F">
      <w:pPr>
        <w:pStyle w:val="Paragraphedeliste"/>
        <w:numPr>
          <w:ilvl w:val="0"/>
          <w:numId w:val="10"/>
        </w:numPr>
        <w:jc w:val="both"/>
        <w:rPr>
          <w:color w:val="000000" w:themeColor="text1"/>
        </w:rPr>
      </w:pPr>
      <w:r w:rsidRPr="00BC5FEF">
        <w:rPr>
          <w:color w:val="000000" w:themeColor="text1"/>
        </w:rPr>
        <w:t xml:space="preserve">En cas d'égalité entre deux candidats, le fait d'appartenir à un groupe de PC ou être PVVIH est un atout. </w:t>
      </w:r>
    </w:p>
    <w:p w14:paraId="372D7BA5" w14:textId="77777777" w:rsidR="00FC5DD1" w:rsidRDefault="00FC5DD1" w:rsidP="00FC5DD1">
      <w:pPr>
        <w:jc w:val="both"/>
        <w:rPr>
          <w:b/>
          <w:bCs/>
          <w:lang w:val="fr"/>
        </w:rPr>
      </w:pPr>
    </w:p>
    <w:p w14:paraId="4FA12EA1" w14:textId="77777777" w:rsidR="00E45B12" w:rsidRPr="00BC5FEF" w:rsidRDefault="00E45B12" w:rsidP="00FC5DD1">
      <w:pPr>
        <w:jc w:val="both"/>
        <w:rPr>
          <w:b/>
          <w:bCs/>
          <w:i/>
          <w:iCs/>
          <w:color w:val="000000" w:themeColor="text1"/>
          <w:sz w:val="22"/>
          <w:szCs w:val="22"/>
          <w:lang w:val="fr"/>
        </w:rPr>
      </w:pPr>
    </w:p>
    <w:p w14:paraId="4CC54590" w14:textId="77777777" w:rsidR="00E45B12" w:rsidRPr="00BC5FEF" w:rsidRDefault="00E45B12" w:rsidP="00FC5DD1">
      <w:pPr>
        <w:jc w:val="both"/>
        <w:rPr>
          <w:b/>
          <w:bCs/>
          <w:i/>
          <w:iCs/>
          <w:color w:val="000000" w:themeColor="text1"/>
          <w:sz w:val="22"/>
          <w:szCs w:val="22"/>
          <w:lang w:val="fr"/>
        </w:rPr>
      </w:pPr>
    </w:p>
    <w:p w14:paraId="7BBF2A2D" w14:textId="77777777" w:rsidR="00E45B12" w:rsidRPr="00BC5FEF" w:rsidRDefault="00E45B12" w:rsidP="00FC5DD1">
      <w:pPr>
        <w:jc w:val="both"/>
        <w:rPr>
          <w:b/>
          <w:bCs/>
          <w:i/>
          <w:iCs/>
          <w:color w:val="000000" w:themeColor="text1"/>
          <w:sz w:val="22"/>
          <w:szCs w:val="22"/>
          <w:lang w:val="fr"/>
        </w:rPr>
      </w:pPr>
    </w:p>
    <w:p w14:paraId="0E23B88E" w14:textId="470A933B" w:rsidR="00FC5DD1" w:rsidRPr="00BC5FEF" w:rsidRDefault="00FC5DD1" w:rsidP="00FC5DD1">
      <w:pPr>
        <w:jc w:val="both"/>
        <w:rPr>
          <w:b/>
          <w:bCs/>
          <w:i/>
          <w:iCs/>
          <w:color w:val="000000" w:themeColor="text1"/>
          <w:sz w:val="22"/>
          <w:szCs w:val="22"/>
          <w:lang w:val="fr"/>
        </w:rPr>
      </w:pPr>
      <w:r w:rsidRPr="00BC5FEF">
        <w:rPr>
          <w:b/>
          <w:bCs/>
          <w:i/>
          <w:iCs/>
          <w:color w:val="000000" w:themeColor="text1"/>
          <w:sz w:val="22"/>
          <w:szCs w:val="22"/>
          <w:lang w:val="fr"/>
        </w:rPr>
        <w:t>Organisation de l’animation :</w:t>
      </w:r>
    </w:p>
    <w:p w14:paraId="0CD08668" w14:textId="2327DA95" w:rsidR="0007210B" w:rsidRPr="00BC5FEF" w:rsidRDefault="0007210B" w:rsidP="00FC5DD1">
      <w:pPr>
        <w:jc w:val="both"/>
        <w:rPr>
          <w:b/>
          <w:bCs/>
          <w:i/>
          <w:iCs/>
          <w:color w:val="000000" w:themeColor="text1"/>
          <w:sz w:val="22"/>
          <w:szCs w:val="22"/>
          <w:lang w:val="fr"/>
        </w:rPr>
      </w:pPr>
    </w:p>
    <w:p w14:paraId="135E7E18" w14:textId="7F1E2C01" w:rsidR="00FC5DD1" w:rsidRPr="00BC5FEF" w:rsidRDefault="033EC100" w:rsidP="033EC100">
      <w:pPr>
        <w:jc w:val="both"/>
        <w:rPr>
          <w:i/>
          <w:iCs/>
          <w:color w:val="000000" w:themeColor="text1"/>
          <w:sz w:val="22"/>
          <w:szCs w:val="22"/>
          <w:lang w:val="fr"/>
        </w:rPr>
      </w:pPr>
      <w:r w:rsidRPr="00BC5FEF">
        <w:rPr>
          <w:i/>
          <w:iCs/>
          <w:color w:val="000000" w:themeColor="text1"/>
          <w:sz w:val="22"/>
          <w:szCs w:val="22"/>
          <w:lang w:val="fr"/>
        </w:rPr>
        <w:t xml:space="preserve">Le </w:t>
      </w:r>
      <w:proofErr w:type="spellStart"/>
      <w:r w:rsidRPr="00BC5FEF">
        <w:rPr>
          <w:i/>
          <w:iCs/>
          <w:color w:val="000000" w:themeColor="text1"/>
          <w:sz w:val="22"/>
          <w:szCs w:val="22"/>
          <w:lang w:val="fr"/>
        </w:rPr>
        <w:t>consultant.e</w:t>
      </w:r>
      <w:proofErr w:type="spellEnd"/>
      <w:r w:rsidRPr="00BC5FEF">
        <w:rPr>
          <w:i/>
          <w:iCs/>
          <w:color w:val="000000" w:themeColor="text1"/>
          <w:sz w:val="22"/>
          <w:szCs w:val="22"/>
          <w:lang w:val="fr"/>
        </w:rPr>
        <w:t xml:space="preserve"> sera recruté(e) pour une durée de </w:t>
      </w:r>
      <w:r w:rsidR="003D622D">
        <w:rPr>
          <w:i/>
          <w:iCs/>
          <w:color w:val="000000" w:themeColor="text1"/>
          <w:sz w:val="22"/>
          <w:szCs w:val="22"/>
          <w:lang w:val="fr"/>
        </w:rPr>
        <w:t>09</w:t>
      </w:r>
      <w:r w:rsidRPr="00BC5FEF">
        <w:rPr>
          <w:i/>
          <w:iCs/>
          <w:color w:val="000000" w:themeColor="text1"/>
          <w:sz w:val="22"/>
          <w:szCs w:val="22"/>
          <w:lang w:val="fr"/>
        </w:rPr>
        <w:t xml:space="preserve"> jours avec une charge de travail estimée à </w:t>
      </w:r>
      <w:r w:rsidR="003D622D">
        <w:rPr>
          <w:i/>
          <w:iCs/>
          <w:color w:val="000000" w:themeColor="text1"/>
          <w:sz w:val="22"/>
          <w:szCs w:val="22"/>
          <w:lang w:val="fr"/>
        </w:rPr>
        <w:t xml:space="preserve">8 </w:t>
      </w:r>
      <w:r w:rsidRPr="00BC5FEF">
        <w:rPr>
          <w:i/>
          <w:iCs/>
          <w:color w:val="000000" w:themeColor="text1"/>
          <w:sz w:val="22"/>
          <w:szCs w:val="22"/>
          <w:lang w:val="fr"/>
        </w:rPr>
        <w:t xml:space="preserve"> heures par jour, sur la période allant de Juin a Juillets 2023, répartis à titre indicatif comme suit : </w:t>
      </w:r>
    </w:p>
    <w:p w14:paraId="5402AD32" w14:textId="77777777" w:rsidR="00FC5DD1" w:rsidRPr="00BC5FEF" w:rsidRDefault="00FC5DD1" w:rsidP="00FC5DD1">
      <w:pPr>
        <w:jc w:val="both"/>
        <w:rPr>
          <w:color w:val="000000" w:themeColor="text1"/>
        </w:rPr>
      </w:pPr>
    </w:p>
    <w:p w14:paraId="0B9459E3" w14:textId="77777777" w:rsidR="000855B5" w:rsidRPr="00BC5FEF" w:rsidRDefault="000855B5" w:rsidP="000855B5">
      <w:pPr>
        <w:pStyle w:val="Paragraphedeliste"/>
        <w:numPr>
          <w:ilvl w:val="0"/>
          <w:numId w:val="21"/>
        </w:numPr>
        <w:jc w:val="both"/>
        <w:rPr>
          <w:i/>
          <w:iCs/>
          <w:color w:val="000000" w:themeColor="text1"/>
          <w:sz w:val="22"/>
          <w:szCs w:val="22"/>
          <w:lang w:val="fr"/>
        </w:rPr>
      </w:pPr>
      <w:r w:rsidRPr="00BC5FEF">
        <w:rPr>
          <w:i/>
          <w:iCs/>
          <w:color w:val="000000" w:themeColor="text1"/>
          <w:sz w:val="22"/>
          <w:szCs w:val="22"/>
          <w:lang w:val="fr"/>
        </w:rPr>
        <w:t xml:space="preserve">La période de diagnostic est adaptation à la thématique : 2 jours </w:t>
      </w:r>
    </w:p>
    <w:p w14:paraId="1CF6CCCD" w14:textId="4D84B91E" w:rsidR="00FC5DD1" w:rsidRPr="00BC5FEF" w:rsidRDefault="033EC100" w:rsidP="033EC100">
      <w:pPr>
        <w:pStyle w:val="Paragraphedeliste"/>
        <w:numPr>
          <w:ilvl w:val="0"/>
          <w:numId w:val="21"/>
        </w:numPr>
        <w:jc w:val="both"/>
        <w:rPr>
          <w:i/>
          <w:iCs/>
          <w:color w:val="000000" w:themeColor="text1"/>
          <w:sz w:val="22"/>
          <w:szCs w:val="22"/>
          <w:lang w:val="fr"/>
        </w:rPr>
      </w:pPr>
      <w:r w:rsidRPr="00BC5FEF">
        <w:rPr>
          <w:i/>
          <w:iCs/>
          <w:color w:val="000000" w:themeColor="text1"/>
          <w:sz w:val="22"/>
          <w:szCs w:val="22"/>
          <w:lang w:val="fr"/>
        </w:rPr>
        <w:t>Une note conceptuelle incluant un plan et un calendrier de formation détaillés : 2 jours</w:t>
      </w:r>
    </w:p>
    <w:p w14:paraId="1A322057" w14:textId="23E1450F" w:rsidR="00FC5DD1" w:rsidRPr="00BC5FEF" w:rsidRDefault="0007210B" w:rsidP="00FC5DD1">
      <w:pPr>
        <w:pStyle w:val="Paragraphedeliste"/>
        <w:numPr>
          <w:ilvl w:val="0"/>
          <w:numId w:val="21"/>
        </w:numPr>
        <w:jc w:val="both"/>
        <w:rPr>
          <w:i/>
          <w:iCs/>
          <w:color w:val="000000" w:themeColor="text1"/>
          <w:sz w:val="22"/>
          <w:szCs w:val="22"/>
          <w:lang w:val="fr"/>
        </w:rPr>
      </w:pPr>
      <w:r w:rsidRPr="00BC5FEF">
        <w:rPr>
          <w:i/>
          <w:iCs/>
          <w:color w:val="000000" w:themeColor="text1"/>
          <w:sz w:val="22"/>
          <w:szCs w:val="22"/>
          <w:lang w:val="fr"/>
        </w:rPr>
        <w:t>Préparation du m</w:t>
      </w:r>
      <w:r w:rsidR="00FC5DD1" w:rsidRPr="00BC5FEF">
        <w:rPr>
          <w:i/>
          <w:iCs/>
          <w:color w:val="000000" w:themeColor="text1"/>
          <w:sz w:val="22"/>
          <w:szCs w:val="22"/>
          <w:lang w:val="fr"/>
        </w:rPr>
        <w:t xml:space="preserve">atériel de formation, y compris des présentations, des documents et des exercices : </w:t>
      </w:r>
      <w:r w:rsidR="000855B5" w:rsidRPr="00BC5FEF">
        <w:rPr>
          <w:i/>
          <w:iCs/>
          <w:color w:val="000000" w:themeColor="text1"/>
          <w:sz w:val="22"/>
          <w:szCs w:val="22"/>
          <w:lang w:val="fr"/>
        </w:rPr>
        <w:t xml:space="preserve">2 </w:t>
      </w:r>
      <w:r w:rsidR="00FC5DD1" w:rsidRPr="00BC5FEF">
        <w:rPr>
          <w:i/>
          <w:iCs/>
          <w:color w:val="000000" w:themeColor="text1"/>
          <w:sz w:val="22"/>
          <w:szCs w:val="22"/>
          <w:lang w:val="fr"/>
        </w:rPr>
        <w:t>jours</w:t>
      </w:r>
    </w:p>
    <w:p w14:paraId="517BC56F" w14:textId="6E09B7C3" w:rsidR="00FC5DD1" w:rsidRPr="00BC5FEF" w:rsidRDefault="033EC100" w:rsidP="033EC100">
      <w:pPr>
        <w:pStyle w:val="Paragraphedeliste"/>
        <w:numPr>
          <w:ilvl w:val="0"/>
          <w:numId w:val="21"/>
        </w:numPr>
        <w:rPr>
          <w:i/>
          <w:iCs/>
          <w:color w:val="000000" w:themeColor="text1"/>
          <w:sz w:val="22"/>
          <w:szCs w:val="22"/>
          <w:lang w:val="fr"/>
        </w:rPr>
      </w:pPr>
      <w:r w:rsidRPr="00BC5FEF">
        <w:rPr>
          <w:i/>
          <w:iCs/>
          <w:color w:val="000000" w:themeColor="text1"/>
          <w:sz w:val="22"/>
          <w:szCs w:val="22"/>
          <w:lang w:val="fr"/>
        </w:rPr>
        <w:t xml:space="preserve">Animation de l’atelier : </w:t>
      </w:r>
      <w:r w:rsidR="00BC5FEF" w:rsidRPr="00BC5FEF">
        <w:rPr>
          <w:i/>
          <w:iCs/>
          <w:color w:val="000000" w:themeColor="text1"/>
          <w:sz w:val="22"/>
          <w:szCs w:val="22"/>
          <w:lang w:val="fr"/>
        </w:rPr>
        <w:t>3</w:t>
      </w:r>
      <w:r w:rsidRPr="00BC5FEF">
        <w:rPr>
          <w:i/>
          <w:iCs/>
          <w:color w:val="000000" w:themeColor="text1"/>
          <w:sz w:val="22"/>
          <w:szCs w:val="22"/>
          <w:lang w:val="fr"/>
        </w:rPr>
        <w:t xml:space="preserve"> jours</w:t>
      </w:r>
    </w:p>
    <w:p w14:paraId="6CB48DFC" w14:textId="2B850893" w:rsidR="00FC5DD1" w:rsidRPr="00FC5DD1" w:rsidRDefault="00FC5DD1" w:rsidP="00FC5DD1">
      <w:pPr>
        <w:rPr>
          <w:rFonts w:asciiTheme="majorHAnsi" w:hAnsiTheme="majorHAnsi" w:cstheme="majorHAnsi"/>
          <w:i/>
          <w:iCs/>
          <w:color w:val="BF8F00" w:themeColor="accent4" w:themeShade="BF"/>
          <w:sz w:val="22"/>
          <w:szCs w:val="22"/>
        </w:rPr>
      </w:pPr>
    </w:p>
    <w:p w14:paraId="606298A8" w14:textId="2BC258FA" w:rsidR="001411CB" w:rsidRPr="001411CB" w:rsidRDefault="001411CB" w:rsidP="00FC5DD1">
      <w:pPr>
        <w:pStyle w:val="Paragraphedeliste"/>
        <w:ind w:left="1060"/>
        <w:jc w:val="both"/>
        <w:rPr>
          <w:rFonts w:asciiTheme="majorHAnsi" w:hAnsiTheme="majorHAnsi" w:cstheme="majorHAnsi"/>
          <w:i/>
          <w:iCs/>
          <w:color w:val="BF8F00" w:themeColor="accent4" w:themeShade="BF"/>
          <w:sz w:val="22"/>
          <w:szCs w:val="22"/>
        </w:rPr>
      </w:pPr>
    </w:p>
    <w:p w14:paraId="14A05449" w14:textId="77777777" w:rsidR="003C2697" w:rsidRPr="00BB5FD8" w:rsidRDefault="003C2697" w:rsidP="003C2697">
      <w:pPr>
        <w:jc w:val="both"/>
        <w:rPr>
          <w:rFonts w:asciiTheme="majorHAnsi" w:hAnsiTheme="majorHAnsi" w:cstheme="majorHAnsi"/>
          <w:sz w:val="22"/>
          <w:szCs w:val="22"/>
        </w:rPr>
      </w:pPr>
    </w:p>
    <w:p w14:paraId="2FDB9F14" w14:textId="3D10CA34" w:rsidR="003C2697" w:rsidRPr="00BB5FD8" w:rsidRDefault="00DF53F9" w:rsidP="003C2697">
      <w:pPr>
        <w:jc w:val="both"/>
        <w:rPr>
          <w:rFonts w:asciiTheme="majorHAnsi" w:hAnsiTheme="majorHAnsi" w:cstheme="majorHAnsi"/>
          <w:b/>
          <w:bCs/>
        </w:rPr>
      </w:pPr>
      <w:r w:rsidRPr="003C2697">
        <w:rPr>
          <w:b/>
          <w:bCs/>
          <w:lang w:val="fr"/>
        </w:rPr>
        <w:t>Soumission :</w:t>
      </w:r>
      <w:r w:rsidR="003C2697" w:rsidRPr="003C2697">
        <w:rPr>
          <w:b/>
          <w:bCs/>
          <w:lang w:val="fr"/>
        </w:rPr>
        <w:t xml:space="preserve"> </w:t>
      </w:r>
    </w:p>
    <w:p w14:paraId="2796F0DE" w14:textId="05DB9CE5" w:rsidR="003C2697" w:rsidRPr="00BC5FEF" w:rsidRDefault="033EC100" w:rsidP="033EC100">
      <w:pPr>
        <w:jc w:val="both"/>
        <w:rPr>
          <w:rFonts w:asciiTheme="majorHAnsi" w:hAnsiTheme="majorHAnsi" w:cstheme="majorBidi"/>
          <w:i/>
          <w:iCs/>
          <w:color w:val="000000" w:themeColor="text1"/>
          <w:sz w:val="22"/>
          <w:szCs w:val="22"/>
        </w:rPr>
      </w:pPr>
      <w:r w:rsidRPr="033EC100">
        <w:rPr>
          <w:sz w:val="22"/>
          <w:szCs w:val="22"/>
          <w:lang w:val="fr"/>
        </w:rPr>
        <w:t>Les candidats intéressés doivent soumettre les documents suivants à [</w:t>
      </w:r>
      <w:hyperlink r:id="rId9">
        <w:r w:rsidRPr="033EC100">
          <w:rPr>
            <w:rStyle w:val="Lienhypertexte"/>
            <w:sz w:val="22"/>
            <w:szCs w:val="22"/>
            <w:lang w:val="fr"/>
          </w:rPr>
          <w:t xml:space="preserve"> alia.amimi@itpcmena.org Zakaria.bahtout@itpcmena.org</w:t>
        </w:r>
      </w:hyperlink>
      <w:r w:rsidRPr="033EC100">
        <w:rPr>
          <w:lang w:val="fr"/>
        </w:rPr>
        <w:t xml:space="preserve"> et </w:t>
      </w:r>
      <w:hyperlink r:id="rId10">
        <w:r w:rsidRPr="033EC100">
          <w:rPr>
            <w:rStyle w:val="Lienhypertexte"/>
            <w:sz w:val="22"/>
            <w:szCs w:val="22"/>
            <w:lang w:val="fr"/>
          </w:rPr>
          <w:t>m.maarouf@alcs.ma</w:t>
        </w:r>
      </w:hyperlink>
      <w:r w:rsidRPr="033EC100">
        <w:rPr>
          <w:sz w:val="22"/>
          <w:szCs w:val="22"/>
          <w:lang w:val="fr"/>
        </w:rPr>
        <w:t xml:space="preserve"> ] d’ici </w:t>
      </w:r>
      <w:r w:rsidRPr="00BC5FEF">
        <w:rPr>
          <w:color w:val="000000" w:themeColor="text1"/>
          <w:lang w:val="fr"/>
        </w:rPr>
        <w:t>le</w:t>
      </w:r>
      <w:r w:rsidRPr="00BC5FEF">
        <w:rPr>
          <w:i/>
          <w:iCs/>
          <w:color w:val="000000" w:themeColor="text1"/>
          <w:sz w:val="22"/>
          <w:szCs w:val="22"/>
          <w:lang w:val="fr"/>
        </w:rPr>
        <w:t xml:space="preserve"> 26 mai 2023 Lettre d’accompagnement soulignant l’expérience et les qualifications pertinentes</w:t>
      </w:r>
      <w:r w:rsidRPr="00BC5FEF">
        <w:rPr>
          <w:color w:val="000000" w:themeColor="text1"/>
          <w:sz w:val="22"/>
          <w:szCs w:val="22"/>
          <w:lang w:val="fr"/>
        </w:rPr>
        <w:t xml:space="preserve"> </w:t>
      </w:r>
    </w:p>
    <w:p w14:paraId="64A34E30" w14:textId="77777777" w:rsidR="003C2697" w:rsidRPr="00BC5FEF" w:rsidRDefault="003C2697" w:rsidP="003C2697">
      <w:pPr>
        <w:pStyle w:val="Paragraphedeliste"/>
        <w:numPr>
          <w:ilvl w:val="0"/>
          <w:numId w:val="19"/>
        </w:numPr>
        <w:jc w:val="both"/>
        <w:rPr>
          <w:rFonts w:asciiTheme="majorHAnsi" w:hAnsiTheme="majorHAnsi" w:cstheme="majorHAnsi"/>
          <w:i/>
          <w:iCs/>
          <w:color w:val="000000" w:themeColor="text1"/>
          <w:sz w:val="22"/>
          <w:szCs w:val="22"/>
          <w:lang w:val="en-US"/>
        </w:rPr>
      </w:pPr>
      <w:r w:rsidRPr="00BC5FEF">
        <w:rPr>
          <w:i/>
          <w:iCs/>
          <w:color w:val="000000" w:themeColor="text1"/>
          <w:sz w:val="22"/>
          <w:szCs w:val="22"/>
          <w:lang w:val="fr"/>
        </w:rPr>
        <w:t>CV mis à jour</w:t>
      </w:r>
    </w:p>
    <w:p w14:paraId="67FB6399" w14:textId="77777777" w:rsidR="003C2697" w:rsidRPr="00BC5FEF" w:rsidRDefault="003C2697" w:rsidP="003C2697">
      <w:pPr>
        <w:pStyle w:val="Paragraphedeliste"/>
        <w:numPr>
          <w:ilvl w:val="0"/>
          <w:numId w:val="19"/>
        </w:numPr>
        <w:jc w:val="both"/>
        <w:rPr>
          <w:rFonts w:asciiTheme="majorHAnsi" w:hAnsiTheme="majorHAnsi" w:cstheme="majorHAnsi"/>
          <w:i/>
          <w:iCs/>
          <w:color w:val="000000" w:themeColor="text1"/>
          <w:sz w:val="22"/>
          <w:szCs w:val="22"/>
        </w:rPr>
      </w:pPr>
      <w:r w:rsidRPr="00BC5FEF">
        <w:rPr>
          <w:i/>
          <w:iCs/>
          <w:color w:val="000000" w:themeColor="text1"/>
          <w:sz w:val="22"/>
          <w:szCs w:val="22"/>
          <w:lang w:val="fr"/>
        </w:rPr>
        <w:t>Exemples de matériel de formation ou de rapports de projets antérieurs</w:t>
      </w:r>
    </w:p>
    <w:p w14:paraId="7E3DCFDC" w14:textId="77777777" w:rsidR="001411CB" w:rsidRPr="00BC5FEF" w:rsidRDefault="001411CB" w:rsidP="003C2697">
      <w:pPr>
        <w:pStyle w:val="Paragraphedeliste"/>
        <w:numPr>
          <w:ilvl w:val="0"/>
          <w:numId w:val="19"/>
        </w:numPr>
        <w:jc w:val="both"/>
        <w:rPr>
          <w:rFonts w:asciiTheme="majorHAnsi" w:hAnsiTheme="majorHAnsi" w:cstheme="majorHAnsi"/>
          <w:i/>
          <w:iCs/>
          <w:color w:val="000000" w:themeColor="text1"/>
          <w:sz w:val="22"/>
          <w:szCs w:val="22"/>
        </w:rPr>
      </w:pPr>
      <w:r w:rsidRPr="00BC5FEF">
        <w:rPr>
          <w:color w:val="000000" w:themeColor="text1"/>
        </w:rPr>
        <w:t xml:space="preserve">Une note méthodologique pour la conduite de cette consultation ; </w:t>
      </w:r>
    </w:p>
    <w:p w14:paraId="754A4CFD" w14:textId="68287E2D" w:rsidR="001411CB" w:rsidRPr="00BC5FEF" w:rsidRDefault="001411CB" w:rsidP="003C2697">
      <w:pPr>
        <w:pStyle w:val="Paragraphedeliste"/>
        <w:numPr>
          <w:ilvl w:val="0"/>
          <w:numId w:val="19"/>
        </w:numPr>
        <w:jc w:val="both"/>
        <w:rPr>
          <w:rFonts w:asciiTheme="majorHAnsi" w:hAnsiTheme="majorHAnsi" w:cstheme="majorHAnsi"/>
          <w:i/>
          <w:iCs/>
          <w:color w:val="000000" w:themeColor="text1"/>
          <w:sz w:val="22"/>
          <w:szCs w:val="22"/>
        </w:rPr>
      </w:pPr>
      <w:r w:rsidRPr="00BC5FEF">
        <w:rPr>
          <w:color w:val="000000" w:themeColor="text1"/>
        </w:rPr>
        <w:t>Une proposition financière</w:t>
      </w:r>
      <w:r w:rsidR="0007210B" w:rsidRPr="00BC5FEF">
        <w:rPr>
          <w:color w:val="000000" w:themeColor="text1"/>
        </w:rPr>
        <w:t>.</w:t>
      </w:r>
    </w:p>
    <w:p w14:paraId="5EE9FF27" w14:textId="77777777" w:rsidR="003C2697" w:rsidRPr="00BC5FEF" w:rsidRDefault="003C2697" w:rsidP="000D4A0F">
      <w:pPr>
        <w:jc w:val="both"/>
        <w:rPr>
          <w:rFonts w:asciiTheme="majorHAnsi" w:hAnsiTheme="majorHAnsi" w:cstheme="majorHAnsi"/>
          <w:b/>
          <w:bCs/>
          <w:color w:val="000000" w:themeColor="text1"/>
        </w:rPr>
      </w:pPr>
    </w:p>
    <w:p w14:paraId="21C2DF9E" w14:textId="250D366A" w:rsidR="00545E93" w:rsidRPr="00BB5FD8" w:rsidRDefault="00DF53F9" w:rsidP="00545E93">
      <w:pPr>
        <w:rPr>
          <w:rFonts w:asciiTheme="majorHAnsi" w:hAnsiTheme="majorHAnsi" w:cstheme="majorHAnsi"/>
          <w:b/>
          <w:bCs/>
        </w:rPr>
      </w:pPr>
      <w:r w:rsidRPr="00545E93">
        <w:rPr>
          <w:b/>
          <w:bCs/>
          <w:lang w:val="fr"/>
        </w:rPr>
        <w:t>Évaluation :</w:t>
      </w:r>
    </w:p>
    <w:p w14:paraId="1F51F9A9" w14:textId="601F70E1" w:rsidR="00545E93" w:rsidRPr="00BB5FD8" w:rsidRDefault="00545E93" w:rsidP="00545E93">
      <w:pPr>
        <w:jc w:val="both"/>
        <w:rPr>
          <w:rFonts w:asciiTheme="majorHAnsi" w:hAnsiTheme="majorHAnsi" w:cstheme="majorHAnsi"/>
          <w:sz w:val="22"/>
          <w:szCs w:val="22"/>
        </w:rPr>
      </w:pPr>
      <w:r w:rsidRPr="00545E93">
        <w:rPr>
          <w:sz w:val="22"/>
          <w:szCs w:val="22"/>
          <w:lang w:val="fr"/>
        </w:rPr>
        <w:t>Les demandes seront évaluées en fonction des critères suivants :</w:t>
      </w:r>
    </w:p>
    <w:p w14:paraId="26E3956C" w14:textId="77777777" w:rsidR="00545E93" w:rsidRPr="00545E93" w:rsidRDefault="00545E93" w:rsidP="00545E93">
      <w:pPr>
        <w:pStyle w:val="Paragraphedeliste"/>
        <w:numPr>
          <w:ilvl w:val="0"/>
          <w:numId w:val="19"/>
        </w:numPr>
        <w:jc w:val="both"/>
        <w:rPr>
          <w:rFonts w:asciiTheme="majorHAnsi" w:hAnsiTheme="majorHAnsi" w:cstheme="majorHAnsi"/>
          <w:i/>
          <w:iCs/>
          <w:sz w:val="22"/>
          <w:szCs w:val="22"/>
          <w:lang w:val="en-US"/>
        </w:rPr>
      </w:pPr>
      <w:r w:rsidRPr="00545E93">
        <w:rPr>
          <w:i/>
          <w:iCs/>
          <w:sz w:val="22"/>
          <w:szCs w:val="22"/>
          <w:lang w:val="fr"/>
        </w:rPr>
        <w:t>Expérience et qualifications pertinentes (50 %)</w:t>
      </w:r>
    </w:p>
    <w:p w14:paraId="03E81F96" w14:textId="77777777" w:rsidR="00545E93" w:rsidRPr="00BB5FD8" w:rsidRDefault="00545E93" w:rsidP="00545E93">
      <w:pPr>
        <w:pStyle w:val="Paragraphedeliste"/>
        <w:numPr>
          <w:ilvl w:val="0"/>
          <w:numId w:val="19"/>
        </w:numPr>
        <w:jc w:val="both"/>
        <w:rPr>
          <w:rFonts w:asciiTheme="majorHAnsi" w:hAnsiTheme="majorHAnsi" w:cstheme="majorHAnsi"/>
          <w:i/>
          <w:iCs/>
          <w:sz w:val="22"/>
          <w:szCs w:val="22"/>
        </w:rPr>
      </w:pPr>
      <w:r w:rsidRPr="00545E93">
        <w:rPr>
          <w:i/>
          <w:iCs/>
          <w:sz w:val="22"/>
          <w:szCs w:val="22"/>
          <w:lang w:val="fr"/>
        </w:rPr>
        <w:t>Qualité et pertinence des échantillons de matériel ou de rapports de formation (30 %)</w:t>
      </w:r>
    </w:p>
    <w:p w14:paraId="0BAFFEFF" w14:textId="7B107EAD" w:rsidR="00545E93" w:rsidRPr="00545E93" w:rsidRDefault="00545E93" w:rsidP="00545E93">
      <w:pPr>
        <w:pStyle w:val="Paragraphedeliste"/>
        <w:numPr>
          <w:ilvl w:val="0"/>
          <w:numId w:val="19"/>
        </w:numPr>
        <w:jc w:val="both"/>
        <w:rPr>
          <w:rFonts w:asciiTheme="majorHAnsi" w:hAnsiTheme="majorHAnsi" w:cstheme="majorHAnsi"/>
          <w:i/>
          <w:iCs/>
          <w:sz w:val="22"/>
          <w:szCs w:val="22"/>
          <w:lang w:val="en-US"/>
        </w:rPr>
      </w:pPr>
      <w:r w:rsidRPr="00545E93">
        <w:rPr>
          <w:i/>
          <w:iCs/>
          <w:sz w:val="22"/>
          <w:szCs w:val="22"/>
          <w:lang w:val="fr"/>
        </w:rPr>
        <w:t>Budget proposé (20 %)</w:t>
      </w:r>
    </w:p>
    <w:p w14:paraId="2B4AFFD3" w14:textId="77777777" w:rsidR="00545E93" w:rsidRDefault="00545E93" w:rsidP="000D4A0F">
      <w:pPr>
        <w:jc w:val="both"/>
        <w:rPr>
          <w:rFonts w:asciiTheme="majorHAnsi" w:hAnsiTheme="majorHAnsi" w:cstheme="majorHAnsi"/>
          <w:b/>
          <w:bCs/>
          <w:lang w:val="en-US"/>
        </w:rPr>
      </w:pPr>
    </w:p>
    <w:p w14:paraId="3C993098" w14:textId="77777777" w:rsidR="00545E93" w:rsidRPr="00545E93" w:rsidRDefault="00545E93" w:rsidP="00545E93">
      <w:pPr>
        <w:rPr>
          <w:rFonts w:asciiTheme="majorHAnsi" w:hAnsiTheme="majorHAnsi" w:cstheme="majorHAnsi"/>
          <w:b/>
          <w:bCs/>
          <w:lang w:val="en-US"/>
        </w:rPr>
      </w:pPr>
      <w:proofErr w:type="gramStart"/>
      <w:r w:rsidRPr="00545E93">
        <w:rPr>
          <w:b/>
          <w:bCs/>
          <w:lang w:val="fr"/>
        </w:rPr>
        <w:t>Budget:</w:t>
      </w:r>
      <w:proofErr w:type="gramEnd"/>
    </w:p>
    <w:p w14:paraId="31AF7D46" w14:textId="1F284F22" w:rsidR="00545E93" w:rsidRPr="00BB5FD8" w:rsidRDefault="00ED5BC0" w:rsidP="00545E93">
      <w:pPr>
        <w:jc w:val="both"/>
        <w:rPr>
          <w:rFonts w:asciiTheme="majorHAnsi" w:hAnsiTheme="majorHAnsi" w:cstheme="majorHAnsi"/>
          <w:sz w:val="22"/>
          <w:szCs w:val="22"/>
        </w:rPr>
      </w:pPr>
      <w:r>
        <w:rPr>
          <w:sz w:val="22"/>
          <w:szCs w:val="22"/>
          <w:lang w:val="fr"/>
        </w:rPr>
        <w:t>ITPC-MENA et ALCS seront</w:t>
      </w:r>
      <w:r w:rsidR="00545E93" w:rsidRPr="00545E93">
        <w:rPr>
          <w:sz w:val="22"/>
          <w:szCs w:val="22"/>
          <w:lang w:val="fr"/>
        </w:rPr>
        <w:t xml:space="preserve"> responsables de couvrir toutes les dépenses liées à leur voyage, à leur hébergement et à leurs repas pendant la formation. Le projet de budget ne devrait inclure </w:t>
      </w:r>
      <w:r>
        <w:rPr>
          <w:sz w:val="22"/>
          <w:szCs w:val="22"/>
          <w:lang w:val="fr"/>
        </w:rPr>
        <w:t>que les coûts</w:t>
      </w:r>
      <w:r w:rsidR="00545E93" w:rsidRPr="00545E93">
        <w:rPr>
          <w:sz w:val="22"/>
          <w:szCs w:val="22"/>
          <w:lang w:val="fr"/>
        </w:rPr>
        <w:t xml:space="preserve"> liés à la formation, y compris les honoraires du consultant et toutes autres dépenses connexes.</w:t>
      </w:r>
    </w:p>
    <w:p w14:paraId="3B76436A" w14:textId="77777777" w:rsidR="00545E93" w:rsidRPr="00BB5FD8" w:rsidRDefault="00545E93" w:rsidP="00545E93">
      <w:pPr>
        <w:rPr>
          <w:rFonts w:asciiTheme="majorHAnsi" w:hAnsiTheme="majorHAnsi" w:cstheme="majorHAnsi"/>
          <w:b/>
          <w:bCs/>
        </w:rPr>
      </w:pPr>
    </w:p>
    <w:p w14:paraId="03D31E38" w14:textId="3B076508" w:rsidR="00545E93" w:rsidRPr="00545E93" w:rsidRDefault="00545E93" w:rsidP="00545E93">
      <w:pPr>
        <w:rPr>
          <w:rFonts w:asciiTheme="majorHAnsi" w:hAnsiTheme="majorHAnsi" w:cstheme="majorHAnsi"/>
          <w:b/>
          <w:bCs/>
          <w:lang w:val="en-US"/>
        </w:rPr>
      </w:pPr>
      <w:r w:rsidRPr="00545E93">
        <w:rPr>
          <w:b/>
          <w:bCs/>
          <w:lang w:val="fr"/>
        </w:rPr>
        <w:t>Prochaines étapes :</w:t>
      </w:r>
    </w:p>
    <w:p w14:paraId="553B0C04" w14:textId="03ED1303" w:rsidR="00545E93" w:rsidRPr="00BB5FD8" w:rsidRDefault="00545E93" w:rsidP="00545E93">
      <w:pPr>
        <w:pStyle w:val="Paragraphedeliste"/>
        <w:numPr>
          <w:ilvl w:val="0"/>
          <w:numId w:val="19"/>
        </w:numPr>
        <w:jc w:val="both"/>
        <w:rPr>
          <w:rFonts w:asciiTheme="majorHAnsi" w:hAnsiTheme="majorHAnsi" w:cstheme="majorHAnsi"/>
          <w:i/>
          <w:iCs/>
          <w:sz w:val="22"/>
          <w:szCs w:val="22"/>
        </w:rPr>
      </w:pPr>
      <w:r w:rsidRPr="00545E93">
        <w:rPr>
          <w:i/>
          <w:iCs/>
          <w:sz w:val="22"/>
          <w:szCs w:val="22"/>
          <w:lang w:val="fr"/>
        </w:rPr>
        <w:t xml:space="preserve">Date limite de soumission des candidatures : </w:t>
      </w:r>
      <w:r w:rsidR="003E051C">
        <w:rPr>
          <w:i/>
          <w:iCs/>
          <w:sz w:val="22"/>
          <w:szCs w:val="22"/>
          <w:lang w:val="fr"/>
        </w:rPr>
        <w:t>26</w:t>
      </w:r>
      <w:r w:rsidR="00ED5BC0">
        <w:rPr>
          <w:i/>
          <w:iCs/>
          <w:sz w:val="22"/>
          <w:szCs w:val="22"/>
          <w:lang w:val="fr"/>
        </w:rPr>
        <w:t xml:space="preserve"> MAI</w:t>
      </w:r>
      <w:r>
        <w:rPr>
          <w:lang w:val="fr"/>
        </w:rPr>
        <w:t xml:space="preserve"> </w:t>
      </w:r>
      <w:r w:rsidR="00ED5BC0">
        <w:rPr>
          <w:i/>
          <w:iCs/>
          <w:sz w:val="22"/>
          <w:szCs w:val="22"/>
          <w:lang w:val="fr"/>
        </w:rPr>
        <w:t>2023</w:t>
      </w:r>
    </w:p>
    <w:p w14:paraId="5548EA74" w14:textId="4BD89AE7" w:rsidR="00545E93" w:rsidRPr="00BB5FD8" w:rsidRDefault="00545E93" w:rsidP="00545E93">
      <w:pPr>
        <w:pStyle w:val="Paragraphedeliste"/>
        <w:numPr>
          <w:ilvl w:val="0"/>
          <w:numId w:val="19"/>
        </w:numPr>
        <w:jc w:val="both"/>
        <w:rPr>
          <w:rFonts w:asciiTheme="majorHAnsi" w:hAnsiTheme="majorHAnsi" w:cstheme="majorHAnsi"/>
          <w:i/>
          <w:iCs/>
          <w:sz w:val="22"/>
          <w:szCs w:val="22"/>
        </w:rPr>
      </w:pPr>
      <w:r w:rsidRPr="00545E93">
        <w:rPr>
          <w:i/>
          <w:iCs/>
          <w:sz w:val="22"/>
          <w:szCs w:val="22"/>
          <w:lang w:val="fr"/>
        </w:rPr>
        <w:t>Sélection du/des consultant</w:t>
      </w:r>
      <w:r>
        <w:rPr>
          <w:lang w:val="fr"/>
        </w:rPr>
        <w:t xml:space="preserve">s : </w:t>
      </w:r>
      <w:r w:rsidR="000D37E0">
        <w:rPr>
          <w:i/>
          <w:iCs/>
          <w:sz w:val="22"/>
          <w:szCs w:val="22"/>
          <w:lang w:val="fr"/>
        </w:rPr>
        <w:t>15</w:t>
      </w:r>
      <w:r w:rsidR="00ED5BC0">
        <w:rPr>
          <w:i/>
          <w:iCs/>
          <w:sz w:val="22"/>
          <w:szCs w:val="22"/>
          <w:lang w:val="fr"/>
        </w:rPr>
        <w:t xml:space="preserve"> </w:t>
      </w:r>
      <w:r w:rsidR="000D37E0">
        <w:rPr>
          <w:i/>
          <w:iCs/>
          <w:sz w:val="22"/>
          <w:szCs w:val="22"/>
          <w:lang w:val="fr"/>
        </w:rPr>
        <w:t xml:space="preserve">juin </w:t>
      </w:r>
      <w:r w:rsidR="00ED5BC0">
        <w:rPr>
          <w:i/>
          <w:iCs/>
          <w:sz w:val="22"/>
          <w:szCs w:val="22"/>
          <w:lang w:val="fr"/>
        </w:rPr>
        <w:t>2023</w:t>
      </w:r>
    </w:p>
    <w:p w14:paraId="382DF55B" w14:textId="407E643F" w:rsidR="00545E93" w:rsidRPr="00BB5FD8" w:rsidRDefault="00545E93" w:rsidP="00D326E8">
      <w:pPr>
        <w:pStyle w:val="Paragraphedeliste"/>
        <w:numPr>
          <w:ilvl w:val="0"/>
          <w:numId w:val="19"/>
        </w:numPr>
        <w:jc w:val="both"/>
        <w:rPr>
          <w:rFonts w:asciiTheme="majorHAnsi" w:hAnsiTheme="majorHAnsi" w:cstheme="majorHAnsi"/>
          <w:b/>
          <w:bCs/>
        </w:rPr>
      </w:pPr>
      <w:r w:rsidRPr="00ED5BC0">
        <w:rPr>
          <w:i/>
          <w:iCs/>
          <w:sz w:val="22"/>
          <w:szCs w:val="22"/>
          <w:lang w:val="fr"/>
        </w:rPr>
        <w:t xml:space="preserve">Dates de formation : </w:t>
      </w:r>
      <w:r w:rsidR="00ED5BC0">
        <w:rPr>
          <w:i/>
          <w:iCs/>
          <w:sz w:val="22"/>
          <w:szCs w:val="22"/>
          <w:lang w:val="fr"/>
        </w:rPr>
        <w:t>10-12</w:t>
      </w:r>
      <w:r w:rsidR="000D37E0">
        <w:rPr>
          <w:i/>
          <w:iCs/>
          <w:sz w:val="22"/>
          <w:szCs w:val="22"/>
          <w:lang w:val="fr"/>
        </w:rPr>
        <w:t xml:space="preserve"> juillet</w:t>
      </w:r>
      <w:r w:rsidR="00ED5BC0">
        <w:rPr>
          <w:i/>
          <w:iCs/>
          <w:sz w:val="22"/>
          <w:szCs w:val="22"/>
          <w:lang w:val="fr"/>
        </w:rPr>
        <w:t>, 2023 à Tanger, Maroc</w:t>
      </w:r>
    </w:p>
    <w:p w14:paraId="44C65A80" w14:textId="77777777" w:rsidR="00ED5BC0" w:rsidRPr="00BB5FD8" w:rsidRDefault="00ED5BC0" w:rsidP="00ED5BC0">
      <w:pPr>
        <w:pStyle w:val="Paragraphedeliste"/>
        <w:jc w:val="both"/>
        <w:rPr>
          <w:rFonts w:asciiTheme="majorHAnsi" w:hAnsiTheme="majorHAnsi" w:cstheme="majorHAnsi"/>
          <w:b/>
          <w:bCs/>
        </w:rPr>
      </w:pPr>
    </w:p>
    <w:p w14:paraId="75B33C0E" w14:textId="77777777" w:rsidR="000D4A0F" w:rsidRPr="00BB5FD8" w:rsidRDefault="000D4A0F" w:rsidP="000D4A0F">
      <w:pPr>
        <w:jc w:val="both"/>
        <w:rPr>
          <w:rFonts w:asciiTheme="majorHAnsi" w:hAnsiTheme="majorHAnsi" w:cstheme="majorHAnsi"/>
        </w:rPr>
      </w:pPr>
    </w:p>
    <w:p w14:paraId="449B0FEE" w14:textId="2013B854" w:rsidR="000D4A0F" w:rsidRPr="00BB5FD8" w:rsidRDefault="00DF53F9" w:rsidP="000D4A0F">
      <w:pPr>
        <w:jc w:val="both"/>
        <w:rPr>
          <w:rFonts w:asciiTheme="majorHAnsi" w:hAnsiTheme="majorHAnsi" w:cstheme="majorHAnsi"/>
          <w:b/>
          <w:bCs/>
        </w:rPr>
      </w:pPr>
      <w:r w:rsidRPr="000D4A0F">
        <w:rPr>
          <w:b/>
          <w:bCs/>
          <w:lang w:val="fr"/>
        </w:rPr>
        <w:t>Emplacement :</w:t>
      </w:r>
    </w:p>
    <w:p w14:paraId="0BBF059D" w14:textId="3AF45543" w:rsidR="000D4A0F" w:rsidRPr="00BB5FD8" w:rsidRDefault="000D4A0F" w:rsidP="003C2697">
      <w:pPr>
        <w:jc w:val="both"/>
        <w:rPr>
          <w:rFonts w:asciiTheme="majorHAnsi" w:hAnsiTheme="majorHAnsi" w:cstheme="majorHAnsi"/>
          <w:sz w:val="22"/>
          <w:szCs w:val="22"/>
        </w:rPr>
      </w:pPr>
      <w:r w:rsidRPr="003C2697">
        <w:rPr>
          <w:sz w:val="22"/>
          <w:szCs w:val="22"/>
          <w:lang w:val="fr"/>
        </w:rPr>
        <w:t xml:space="preserve">La formation se déroulera en personne du </w:t>
      </w:r>
      <w:r w:rsidR="00ED5BC0">
        <w:rPr>
          <w:sz w:val="22"/>
          <w:szCs w:val="22"/>
          <w:lang w:val="fr"/>
        </w:rPr>
        <w:t>10 au 12 juillet</w:t>
      </w:r>
      <w:r w:rsidR="003C2697" w:rsidRPr="003C2697">
        <w:rPr>
          <w:sz w:val="22"/>
          <w:szCs w:val="22"/>
          <w:lang w:val="fr"/>
        </w:rPr>
        <w:t xml:space="preserve"> à Tanger, au Maroc. </w:t>
      </w:r>
    </w:p>
    <w:p w14:paraId="2DE2DE8C" w14:textId="77777777" w:rsidR="000D4A0F" w:rsidRPr="00BB5FD8" w:rsidRDefault="000D4A0F" w:rsidP="000D4A0F">
      <w:pPr>
        <w:jc w:val="both"/>
        <w:rPr>
          <w:rFonts w:asciiTheme="majorHAnsi" w:hAnsiTheme="majorHAnsi" w:cstheme="majorHAnsi"/>
        </w:rPr>
      </w:pPr>
    </w:p>
    <w:p w14:paraId="606AA3DC" w14:textId="28A96F7F" w:rsidR="00DD29B4" w:rsidRPr="00BB5FD8" w:rsidRDefault="00DF53F9" w:rsidP="000D4A0F">
      <w:pPr>
        <w:jc w:val="both"/>
        <w:rPr>
          <w:rFonts w:asciiTheme="majorHAnsi" w:hAnsiTheme="majorHAnsi" w:cstheme="majorHAnsi"/>
          <w:b/>
          <w:bCs/>
        </w:rPr>
      </w:pPr>
      <w:r w:rsidRPr="00DD29B4">
        <w:rPr>
          <w:b/>
          <w:bCs/>
          <w:lang w:val="fr"/>
        </w:rPr>
        <w:t>Note :</w:t>
      </w:r>
      <w:r w:rsidR="00DD29B4" w:rsidRPr="00DD29B4">
        <w:rPr>
          <w:b/>
          <w:bCs/>
          <w:lang w:val="fr"/>
        </w:rPr>
        <w:t xml:space="preserve"> </w:t>
      </w:r>
    </w:p>
    <w:p w14:paraId="5D44B576" w14:textId="2AFAA903" w:rsidR="004B4758" w:rsidRPr="00BB5FD8" w:rsidRDefault="00DD29B4" w:rsidP="000D4A0F">
      <w:pPr>
        <w:jc w:val="both"/>
        <w:rPr>
          <w:rFonts w:asciiTheme="majorHAnsi" w:hAnsiTheme="majorHAnsi" w:cstheme="majorHAnsi"/>
          <w:b/>
          <w:bCs/>
          <w:i/>
          <w:iCs/>
          <w:color w:val="C00000"/>
          <w:sz w:val="22"/>
          <w:szCs w:val="22"/>
        </w:rPr>
      </w:pPr>
      <w:r w:rsidRPr="00DD29B4">
        <w:rPr>
          <w:b/>
          <w:bCs/>
          <w:i/>
          <w:iCs/>
          <w:color w:val="C00000"/>
          <w:sz w:val="22"/>
          <w:szCs w:val="22"/>
          <w:lang w:val="fr"/>
        </w:rPr>
        <w:t>ITPC-MENA</w:t>
      </w:r>
      <w:r w:rsidR="00BB5FD8">
        <w:rPr>
          <w:b/>
          <w:bCs/>
          <w:i/>
          <w:iCs/>
          <w:color w:val="C00000"/>
          <w:sz w:val="22"/>
          <w:szCs w:val="22"/>
          <w:lang w:val="fr"/>
        </w:rPr>
        <w:t xml:space="preserve"> et l’ALCS</w:t>
      </w:r>
      <w:r w:rsidRPr="00DD29B4">
        <w:rPr>
          <w:b/>
          <w:bCs/>
          <w:i/>
          <w:iCs/>
          <w:color w:val="C00000"/>
          <w:sz w:val="22"/>
          <w:szCs w:val="22"/>
          <w:lang w:val="fr"/>
        </w:rPr>
        <w:t xml:space="preserve"> se réserve</w:t>
      </w:r>
      <w:r w:rsidR="00BB5FD8">
        <w:rPr>
          <w:b/>
          <w:bCs/>
          <w:i/>
          <w:iCs/>
          <w:color w:val="C00000"/>
          <w:sz w:val="22"/>
          <w:szCs w:val="22"/>
          <w:lang w:val="fr"/>
        </w:rPr>
        <w:t>nt</w:t>
      </w:r>
      <w:r w:rsidRPr="00DD29B4">
        <w:rPr>
          <w:b/>
          <w:bCs/>
          <w:i/>
          <w:iCs/>
          <w:color w:val="C00000"/>
          <w:sz w:val="22"/>
          <w:szCs w:val="22"/>
          <w:lang w:val="fr"/>
        </w:rPr>
        <w:t xml:space="preserve"> le droit de rejeter </w:t>
      </w:r>
      <w:r w:rsidR="00BB5FD8">
        <w:rPr>
          <w:b/>
          <w:bCs/>
          <w:i/>
          <w:iCs/>
          <w:color w:val="C00000"/>
          <w:sz w:val="22"/>
          <w:szCs w:val="22"/>
          <w:lang w:val="fr"/>
        </w:rPr>
        <w:t>toute</w:t>
      </w:r>
      <w:r w:rsidRPr="00DD29B4">
        <w:rPr>
          <w:b/>
          <w:bCs/>
          <w:i/>
          <w:iCs/>
          <w:color w:val="C00000"/>
          <w:sz w:val="22"/>
          <w:szCs w:val="22"/>
          <w:lang w:val="fr"/>
        </w:rPr>
        <w:t xml:space="preserve"> demande reçu</w:t>
      </w:r>
      <w:r w:rsidR="00BB5FD8">
        <w:rPr>
          <w:b/>
          <w:bCs/>
          <w:i/>
          <w:iCs/>
          <w:color w:val="C00000"/>
          <w:sz w:val="22"/>
          <w:szCs w:val="22"/>
          <w:lang w:val="fr"/>
        </w:rPr>
        <w:t xml:space="preserve">e </w:t>
      </w:r>
      <w:r w:rsidRPr="00DD29B4">
        <w:rPr>
          <w:b/>
          <w:bCs/>
          <w:i/>
          <w:iCs/>
          <w:color w:val="C00000"/>
          <w:sz w:val="22"/>
          <w:szCs w:val="22"/>
          <w:lang w:val="fr"/>
        </w:rPr>
        <w:t>sans donner de raison quelconque.</w:t>
      </w:r>
    </w:p>
    <w:sectPr w:rsidR="004B4758" w:rsidRPr="00BB5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63B4"/>
    <w:multiLevelType w:val="hybridMultilevel"/>
    <w:tmpl w:val="4F6075E6"/>
    <w:lvl w:ilvl="0" w:tplc="CB1C675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71B5D"/>
    <w:multiLevelType w:val="hybridMultilevel"/>
    <w:tmpl w:val="1632CC76"/>
    <w:lvl w:ilvl="0" w:tplc="CB1C675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8943BF"/>
    <w:multiLevelType w:val="multilevel"/>
    <w:tmpl w:val="6FE07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E4555"/>
    <w:multiLevelType w:val="multilevel"/>
    <w:tmpl w:val="2F7E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E714E"/>
    <w:multiLevelType w:val="multilevel"/>
    <w:tmpl w:val="1EE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A82FF2"/>
    <w:multiLevelType w:val="multilevel"/>
    <w:tmpl w:val="346E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43950"/>
    <w:multiLevelType w:val="hybridMultilevel"/>
    <w:tmpl w:val="DA6CE5DC"/>
    <w:lvl w:ilvl="0" w:tplc="CB1C675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47470E"/>
    <w:multiLevelType w:val="hybridMultilevel"/>
    <w:tmpl w:val="5D0E7A86"/>
    <w:lvl w:ilvl="0" w:tplc="CB1C675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767CE9"/>
    <w:multiLevelType w:val="hybridMultilevel"/>
    <w:tmpl w:val="B6CEB218"/>
    <w:lvl w:ilvl="0" w:tplc="CB1C675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76277C"/>
    <w:multiLevelType w:val="multilevel"/>
    <w:tmpl w:val="03DC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704937"/>
    <w:multiLevelType w:val="hybridMultilevel"/>
    <w:tmpl w:val="FF807E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105EA0"/>
    <w:multiLevelType w:val="hybridMultilevel"/>
    <w:tmpl w:val="C9E023CA"/>
    <w:lvl w:ilvl="0" w:tplc="CB1C675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857594"/>
    <w:multiLevelType w:val="hybridMultilevel"/>
    <w:tmpl w:val="E3BAED3A"/>
    <w:lvl w:ilvl="0" w:tplc="CB1C675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E57D9F"/>
    <w:multiLevelType w:val="hybridMultilevel"/>
    <w:tmpl w:val="46F242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63E2D"/>
    <w:multiLevelType w:val="hybridMultilevel"/>
    <w:tmpl w:val="FF18E6DA"/>
    <w:lvl w:ilvl="0" w:tplc="CB1C675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3102F3"/>
    <w:multiLevelType w:val="multilevel"/>
    <w:tmpl w:val="A55E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7D51C1"/>
    <w:multiLevelType w:val="hybridMultilevel"/>
    <w:tmpl w:val="5A48FA12"/>
    <w:lvl w:ilvl="0" w:tplc="CB1C675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5554D7"/>
    <w:multiLevelType w:val="hybridMultilevel"/>
    <w:tmpl w:val="F2A8DA94"/>
    <w:lvl w:ilvl="0" w:tplc="CB1C675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2D3B37"/>
    <w:multiLevelType w:val="hybridMultilevel"/>
    <w:tmpl w:val="C9E023CA"/>
    <w:lvl w:ilvl="0" w:tplc="FFFFFFFF">
      <w:start w:val="1"/>
      <w:numFmt w:val="decimal"/>
      <w:lvlText w:val="%1."/>
      <w:lvlJc w:val="left"/>
      <w:pPr>
        <w:ind w:left="1060" w:hanging="7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D227427"/>
    <w:multiLevelType w:val="hybridMultilevel"/>
    <w:tmpl w:val="8AECE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5813E8"/>
    <w:multiLevelType w:val="multilevel"/>
    <w:tmpl w:val="A722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15"/>
  </w:num>
  <w:num w:numId="5">
    <w:abstractNumId w:val="10"/>
  </w:num>
  <w:num w:numId="6">
    <w:abstractNumId w:val="6"/>
  </w:num>
  <w:num w:numId="7">
    <w:abstractNumId w:val="14"/>
  </w:num>
  <w:num w:numId="8">
    <w:abstractNumId w:val="1"/>
  </w:num>
  <w:num w:numId="9">
    <w:abstractNumId w:val="17"/>
  </w:num>
  <w:num w:numId="10">
    <w:abstractNumId w:val="0"/>
  </w:num>
  <w:num w:numId="11">
    <w:abstractNumId w:val="8"/>
  </w:num>
  <w:num w:numId="12">
    <w:abstractNumId w:val="16"/>
  </w:num>
  <w:num w:numId="13">
    <w:abstractNumId w:val="4"/>
  </w:num>
  <w:num w:numId="14">
    <w:abstractNumId w:val="7"/>
  </w:num>
  <w:num w:numId="15">
    <w:abstractNumId w:val="9"/>
  </w:num>
  <w:num w:numId="16">
    <w:abstractNumId w:val="11"/>
  </w:num>
  <w:num w:numId="17">
    <w:abstractNumId w:val="12"/>
  </w:num>
  <w:num w:numId="18">
    <w:abstractNumId w:val="20"/>
  </w:num>
  <w:num w:numId="19">
    <w:abstractNumId w:val="13"/>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0F"/>
    <w:rsid w:val="0007210B"/>
    <w:rsid w:val="000855B5"/>
    <w:rsid w:val="000D37E0"/>
    <w:rsid w:val="000D4A0F"/>
    <w:rsid w:val="000E6107"/>
    <w:rsid w:val="001221AE"/>
    <w:rsid w:val="001411CB"/>
    <w:rsid w:val="001E0753"/>
    <w:rsid w:val="002C0A26"/>
    <w:rsid w:val="00331686"/>
    <w:rsid w:val="003C2697"/>
    <w:rsid w:val="003D622D"/>
    <w:rsid w:val="003E051C"/>
    <w:rsid w:val="0046073A"/>
    <w:rsid w:val="004B18FA"/>
    <w:rsid w:val="004B4758"/>
    <w:rsid w:val="00545E93"/>
    <w:rsid w:val="006613B5"/>
    <w:rsid w:val="006C07FE"/>
    <w:rsid w:val="00736793"/>
    <w:rsid w:val="009D6DB0"/>
    <w:rsid w:val="00A15555"/>
    <w:rsid w:val="00AD1D3D"/>
    <w:rsid w:val="00BB5FD8"/>
    <w:rsid w:val="00BC5FEF"/>
    <w:rsid w:val="00D57702"/>
    <w:rsid w:val="00DD29B4"/>
    <w:rsid w:val="00DE527C"/>
    <w:rsid w:val="00DF53F9"/>
    <w:rsid w:val="00E416D1"/>
    <w:rsid w:val="00E45B12"/>
    <w:rsid w:val="00ED5BC0"/>
    <w:rsid w:val="00FC5DD1"/>
    <w:rsid w:val="00FF2C5B"/>
    <w:rsid w:val="033EC100"/>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948A"/>
  <w15:chartTrackingRefBased/>
  <w15:docId w15:val="{2094C255-9BB2-A94A-8B8E-8A7D87BE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D4A0F"/>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0D4A0F"/>
    <w:pPr>
      <w:ind w:left="720"/>
      <w:contextualSpacing/>
    </w:pPr>
  </w:style>
  <w:style w:type="character" w:styleId="Lienhypertexte">
    <w:name w:val="Hyperlink"/>
    <w:basedOn w:val="Policepardfaut"/>
    <w:uiPriority w:val="99"/>
    <w:unhideWhenUsed/>
    <w:rsid w:val="00ED5BC0"/>
    <w:rPr>
      <w:color w:val="0563C1" w:themeColor="hyperlink"/>
      <w:u w:val="single"/>
    </w:rPr>
  </w:style>
  <w:style w:type="character" w:styleId="Mentionnonrsolue">
    <w:name w:val="Unresolved Mention"/>
    <w:basedOn w:val="Policepardfaut"/>
    <w:uiPriority w:val="99"/>
    <w:semiHidden/>
    <w:unhideWhenUsed/>
    <w:rsid w:val="00ED5BC0"/>
    <w:rPr>
      <w:color w:val="605E5C"/>
      <w:shd w:val="clear" w:color="auto" w:fill="E1DFDD"/>
    </w:rPr>
  </w:style>
  <w:style w:type="character" w:styleId="Textedelespacerserv">
    <w:name w:val="Placeholder Text"/>
    <w:basedOn w:val="Policepardfaut"/>
    <w:uiPriority w:val="99"/>
    <w:semiHidden/>
    <w:rsid w:val="00BB5FD8"/>
    <w:rPr>
      <w:color w:val="808080"/>
    </w:rPr>
  </w:style>
  <w:style w:type="character" w:customStyle="1" w:styleId="apple-converted-space">
    <w:name w:val="apple-converted-space"/>
    <w:basedOn w:val="Policepardfaut"/>
    <w:rsid w:val="000D37E0"/>
  </w:style>
  <w:style w:type="character" w:styleId="Marquedecommentaire">
    <w:name w:val="annotation reference"/>
    <w:basedOn w:val="Policepardfaut"/>
    <w:uiPriority w:val="99"/>
    <w:semiHidden/>
    <w:unhideWhenUsed/>
    <w:rsid w:val="00AD1D3D"/>
    <w:rPr>
      <w:sz w:val="16"/>
      <w:szCs w:val="16"/>
    </w:rPr>
  </w:style>
  <w:style w:type="paragraph" w:styleId="Commentaire">
    <w:name w:val="annotation text"/>
    <w:basedOn w:val="Normal"/>
    <w:link w:val="CommentaireCar"/>
    <w:uiPriority w:val="99"/>
    <w:unhideWhenUsed/>
    <w:rsid w:val="00AD1D3D"/>
    <w:rPr>
      <w:sz w:val="20"/>
      <w:szCs w:val="20"/>
    </w:rPr>
  </w:style>
  <w:style w:type="character" w:customStyle="1" w:styleId="CommentaireCar">
    <w:name w:val="Commentaire Car"/>
    <w:basedOn w:val="Policepardfaut"/>
    <w:link w:val="Commentaire"/>
    <w:uiPriority w:val="99"/>
    <w:rsid w:val="00AD1D3D"/>
    <w:rPr>
      <w:sz w:val="20"/>
      <w:szCs w:val="20"/>
    </w:rPr>
  </w:style>
  <w:style w:type="paragraph" w:styleId="Objetducommentaire">
    <w:name w:val="annotation subject"/>
    <w:basedOn w:val="Commentaire"/>
    <w:next w:val="Commentaire"/>
    <w:link w:val="ObjetducommentaireCar"/>
    <w:uiPriority w:val="99"/>
    <w:semiHidden/>
    <w:unhideWhenUsed/>
    <w:rsid w:val="00AD1D3D"/>
    <w:rPr>
      <w:b/>
      <w:bCs/>
    </w:rPr>
  </w:style>
  <w:style w:type="character" w:customStyle="1" w:styleId="ObjetducommentaireCar">
    <w:name w:val="Objet du commentaire Car"/>
    <w:basedOn w:val="CommentaireCar"/>
    <w:link w:val="Objetducommentaire"/>
    <w:uiPriority w:val="99"/>
    <w:semiHidden/>
    <w:rsid w:val="00AD1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12742">
      <w:bodyDiv w:val="1"/>
      <w:marLeft w:val="0"/>
      <w:marRight w:val="0"/>
      <w:marTop w:val="0"/>
      <w:marBottom w:val="0"/>
      <w:divBdr>
        <w:top w:val="none" w:sz="0" w:space="0" w:color="auto"/>
        <w:left w:val="none" w:sz="0" w:space="0" w:color="auto"/>
        <w:bottom w:val="none" w:sz="0" w:space="0" w:color="auto"/>
        <w:right w:val="none" w:sz="0" w:space="0" w:color="auto"/>
      </w:divBdr>
    </w:div>
    <w:div w:id="595791076">
      <w:bodyDiv w:val="1"/>
      <w:marLeft w:val="0"/>
      <w:marRight w:val="0"/>
      <w:marTop w:val="0"/>
      <w:marBottom w:val="0"/>
      <w:divBdr>
        <w:top w:val="none" w:sz="0" w:space="0" w:color="auto"/>
        <w:left w:val="none" w:sz="0" w:space="0" w:color="auto"/>
        <w:bottom w:val="none" w:sz="0" w:space="0" w:color="auto"/>
        <w:right w:val="none" w:sz="0" w:space="0" w:color="auto"/>
      </w:divBdr>
    </w:div>
    <w:div w:id="1170218786">
      <w:bodyDiv w:val="1"/>
      <w:marLeft w:val="0"/>
      <w:marRight w:val="0"/>
      <w:marTop w:val="0"/>
      <w:marBottom w:val="0"/>
      <w:divBdr>
        <w:top w:val="none" w:sz="0" w:space="0" w:color="auto"/>
        <w:left w:val="none" w:sz="0" w:space="0" w:color="auto"/>
        <w:bottom w:val="none" w:sz="0" w:space="0" w:color="auto"/>
        <w:right w:val="none" w:sz="0" w:space="0" w:color="auto"/>
      </w:divBdr>
    </w:div>
    <w:div w:id="1754159388">
      <w:bodyDiv w:val="1"/>
      <w:marLeft w:val="0"/>
      <w:marRight w:val="0"/>
      <w:marTop w:val="0"/>
      <w:marBottom w:val="0"/>
      <w:divBdr>
        <w:top w:val="none" w:sz="0" w:space="0" w:color="auto"/>
        <w:left w:val="none" w:sz="0" w:space="0" w:color="auto"/>
        <w:bottom w:val="none" w:sz="0" w:space="0" w:color="auto"/>
        <w:right w:val="none" w:sz="0" w:space="0" w:color="auto"/>
      </w:divBdr>
    </w:div>
    <w:div w:id="2144033132">
      <w:bodyDiv w:val="1"/>
      <w:marLeft w:val="0"/>
      <w:marRight w:val="0"/>
      <w:marTop w:val="0"/>
      <w:marBottom w:val="0"/>
      <w:divBdr>
        <w:top w:val="none" w:sz="0" w:space="0" w:color="auto"/>
        <w:left w:val="none" w:sz="0" w:space="0" w:color="auto"/>
        <w:bottom w:val="none" w:sz="0" w:space="0" w:color="auto"/>
        <w:right w:val="none" w:sz="0" w:space="0" w:color="auto"/>
      </w:divBdr>
    </w:div>
    <w:div w:id="21449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aarouf@alcs.ma" TargetMode="External"/><Relationship Id="rId4" Type="http://schemas.openxmlformats.org/officeDocument/2006/relationships/settings" Target="settings.xml"/><Relationship Id="rId9" Type="http://schemas.openxmlformats.org/officeDocument/2006/relationships/hyperlink" Target="mailto:alia.amimi@itpcmen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9088-3732-D146-BC79-D2ACA358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Imad DAF</cp:lastModifiedBy>
  <cp:revision>2</cp:revision>
  <dcterms:created xsi:type="dcterms:W3CDTF">2023-05-10T13:09:00Z</dcterms:created>
  <dcterms:modified xsi:type="dcterms:W3CDTF">2023-05-10T13:09:00Z</dcterms:modified>
  <cp:category/>
</cp:coreProperties>
</file>