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771" w14:textId="097AA854" w:rsidR="00F5385F" w:rsidRDefault="00EB53AC" w:rsidP="00F942C8">
      <w:pPr>
        <w:jc w:val="center"/>
      </w:pPr>
      <w:r>
        <w:rPr>
          <w:noProof/>
        </w:rPr>
        <w:drawing>
          <wp:inline distT="0" distB="0" distL="0" distR="0" wp14:anchorId="1F542CA8" wp14:editId="1F4A891C">
            <wp:extent cx="3968750" cy="1170305"/>
            <wp:effectExtent l="0" t="0" r="0" b="0"/>
            <wp:docPr id="16918551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216F5" w14:textId="77777777" w:rsidR="00F942C8" w:rsidRDefault="00F942C8" w:rsidP="00F942C8">
      <w:pPr>
        <w:jc w:val="center"/>
      </w:pPr>
    </w:p>
    <w:p w14:paraId="2D9566AD" w14:textId="40B32F71" w:rsidR="00F942C8" w:rsidRDefault="00640DED" w:rsidP="008E1D75">
      <w:pPr>
        <w:spacing w:after="60"/>
        <w:jc w:val="center"/>
        <w:rPr>
          <w:b/>
          <w:bCs/>
          <w:sz w:val="28"/>
          <w:szCs w:val="28"/>
        </w:rPr>
      </w:pPr>
      <w:r w:rsidRPr="00640DED">
        <w:rPr>
          <w:b/>
          <w:bCs/>
          <w:sz w:val="28"/>
          <w:szCs w:val="28"/>
        </w:rPr>
        <w:t>Termes de Référence</w:t>
      </w:r>
    </w:p>
    <w:p w14:paraId="14DCA8B7" w14:textId="107E203F" w:rsidR="0007682D" w:rsidRPr="00640DED" w:rsidRDefault="0007682D" w:rsidP="008E1D75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Pour le </w:t>
      </w:r>
    </w:p>
    <w:p w14:paraId="09A8D945" w14:textId="743FC5EC" w:rsidR="00640DED" w:rsidRPr="00640DED" w:rsidRDefault="006758E6" w:rsidP="008E1D75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Montage d’un film de capitalisation</w:t>
      </w:r>
    </w:p>
    <w:p w14:paraId="0B6D2A77" w14:textId="77777777" w:rsidR="008E1D75" w:rsidRDefault="008E1D75" w:rsidP="00640DED"/>
    <w:tbl>
      <w:tblPr>
        <w:tblStyle w:val="Grilledetableauclaire"/>
        <w:tblW w:w="8499" w:type="dxa"/>
        <w:tblInd w:w="421" w:type="dxa"/>
        <w:tblLook w:val="04A0" w:firstRow="1" w:lastRow="0" w:firstColumn="1" w:lastColumn="0" w:noHBand="0" w:noVBand="1"/>
      </w:tblPr>
      <w:tblGrid>
        <w:gridCol w:w="2976"/>
        <w:gridCol w:w="5523"/>
      </w:tblGrid>
      <w:tr w:rsidR="00640DED" w14:paraId="4B35EFA7" w14:textId="77777777" w:rsidTr="00656F34">
        <w:tc>
          <w:tcPr>
            <w:tcW w:w="2976" w:type="dxa"/>
            <w:shd w:val="clear" w:color="auto" w:fill="00B050"/>
          </w:tcPr>
          <w:p w14:paraId="3E942A74" w14:textId="3E979E1F" w:rsidR="00640DED" w:rsidRDefault="008E1D75" w:rsidP="00640DED">
            <w:r>
              <w:t>Type de consultation</w:t>
            </w:r>
          </w:p>
        </w:tc>
        <w:tc>
          <w:tcPr>
            <w:tcW w:w="5523" w:type="dxa"/>
            <w:shd w:val="clear" w:color="auto" w:fill="E2EFD9" w:themeFill="accent6" w:themeFillTint="33"/>
          </w:tcPr>
          <w:p w14:paraId="552D7031" w14:textId="2ED13D9B" w:rsidR="00640DED" w:rsidRDefault="008E1D75" w:rsidP="00640DED">
            <w:r>
              <w:t>Contrat de prestation de service</w:t>
            </w:r>
          </w:p>
        </w:tc>
      </w:tr>
      <w:tr w:rsidR="00DF345E" w14:paraId="0F3C7C29" w14:textId="77777777" w:rsidTr="00656F34">
        <w:tc>
          <w:tcPr>
            <w:tcW w:w="2976" w:type="dxa"/>
            <w:shd w:val="clear" w:color="auto" w:fill="00B050"/>
          </w:tcPr>
          <w:p w14:paraId="045A9CB4" w14:textId="72D76268" w:rsidR="00DF345E" w:rsidRDefault="00DF345E" w:rsidP="00640DED">
            <w:r>
              <w:t>Intitulé</w:t>
            </w:r>
          </w:p>
        </w:tc>
        <w:tc>
          <w:tcPr>
            <w:tcW w:w="5523" w:type="dxa"/>
            <w:shd w:val="clear" w:color="auto" w:fill="E2EFD9" w:themeFill="accent6" w:themeFillTint="33"/>
          </w:tcPr>
          <w:p w14:paraId="233A50DA" w14:textId="2CADD6F9" w:rsidR="00DF345E" w:rsidRDefault="00DF345E" w:rsidP="00640DED">
            <w:r>
              <w:t>Montage d’un film documentaire de capitalisation basé sur</w:t>
            </w:r>
            <w:r w:rsidR="00B25EE0">
              <w:t xml:space="preserve"> des matériaux existants et à créer si requis.</w:t>
            </w:r>
          </w:p>
        </w:tc>
      </w:tr>
      <w:tr w:rsidR="00640DED" w14:paraId="796D59B8" w14:textId="77777777" w:rsidTr="00656F34">
        <w:tc>
          <w:tcPr>
            <w:tcW w:w="2976" w:type="dxa"/>
            <w:shd w:val="clear" w:color="auto" w:fill="00B050"/>
          </w:tcPr>
          <w:p w14:paraId="6F37AA10" w14:textId="24E7738D" w:rsidR="00640DED" w:rsidRDefault="008E1D75" w:rsidP="00640DED">
            <w:r>
              <w:t xml:space="preserve">Durée et </w:t>
            </w:r>
            <w:r w:rsidR="006B71A7">
              <w:t>date de l’intervention</w:t>
            </w:r>
          </w:p>
        </w:tc>
        <w:tc>
          <w:tcPr>
            <w:tcW w:w="5523" w:type="dxa"/>
            <w:shd w:val="clear" w:color="auto" w:fill="E2EFD9" w:themeFill="accent6" w:themeFillTint="33"/>
          </w:tcPr>
          <w:p w14:paraId="45842432" w14:textId="1DA676BA" w:rsidR="00640DED" w:rsidRDefault="00551291" w:rsidP="00640DED">
            <w:r>
              <w:t>10</w:t>
            </w:r>
            <w:r w:rsidR="007C17D9">
              <w:t xml:space="preserve"> jours de travail à effectuer avant le </w:t>
            </w:r>
            <w:r>
              <w:t>30 juin</w:t>
            </w:r>
            <w:r w:rsidR="007C17D9">
              <w:t xml:space="preserve"> 2023</w:t>
            </w:r>
          </w:p>
        </w:tc>
      </w:tr>
      <w:tr w:rsidR="008E1D75" w14:paraId="47BD8EA7" w14:textId="77777777" w:rsidTr="00656F34">
        <w:tc>
          <w:tcPr>
            <w:tcW w:w="2976" w:type="dxa"/>
            <w:shd w:val="clear" w:color="auto" w:fill="00B050"/>
          </w:tcPr>
          <w:p w14:paraId="4CFB58BE" w14:textId="72F2A66E" w:rsidR="008E1D75" w:rsidRDefault="008E1D75" w:rsidP="00640DED">
            <w:r>
              <w:t>Organisation</w:t>
            </w:r>
          </w:p>
        </w:tc>
        <w:tc>
          <w:tcPr>
            <w:tcW w:w="5523" w:type="dxa"/>
            <w:shd w:val="clear" w:color="auto" w:fill="E2EFD9" w:themeFill="accent6" w:themeFillTint="33"/>
          </w:tcPr>
          <w:p w14:paraId="61885F51" w14:textId="3D381375" w:rsidR="008E1D75" w:rsidRDefault="008E1D75" w:rsidP="00640DED">
            <w:r>
              <w:t>Association Démocratique des Femmes du Maroc - ADFM</w:t>
            </w:r>
          </w:p>
        </w:tc>
      </w:tr>
      <w:tr w:rsidR="006B71A7" w14:paraId="5A212050" w14:textId="77777777" w:rsidTr="00656F34">
        <w:tc>
          <w:tcPr>
            <w:tcW w:w="2976" w:type="dxa"/>
            <w:shd w:val="clear" w:color="auto" w:fill="00B050"/>
          </w:tcPr>
          <w:p w14:paraId="67DFF488" w14:textId="102BE09D" w:rsidR="006B71A7" w:rsidRDefault="006B71A7" w:rsidP="00640DED">
            <w:r>
              <w:t>Budget indicatif</w:t>
            </w:r>
          </w:p>
        </w:tc>
        <w:tc>
          <w:tcPr>
            <w:tcW w:w="5523" w:type="dxa"/>
            <w:shd w:val="clear" w:color="auto" w:fill="E2EFD9" w:themeFill="accent6" w:themeFillTint="33"/>
          </w:tcPr>
          <w:p w14:paraId="15B4F4D4" w14:textId="328A0074" w:rsidR="006B71A7" w:rsidRDefault="007C17D9" w:rsidP="00640DED">
            <w:r>
              <w:t>30 400</w:t>
            </w:r>
            <w:r w:rsidR="006B71A7">
              <w:t xml:space="preserve"> MAD</w:t>
            </w:r>
          </w:p>
        </w:tc>
      </w:tr>
      <w:tr w:rsidR="009A2FFA" w14:paraId="0AD66E01" w14:textId="77777777" w:rsidTr="00656F34">
        <w:tc>
          <w:tcPr>
            <w:tcW w:w="2976" w:type="dxa"/>
            <w:shd w:val="clear" w:color="auto" w:fill="00B050"/>
          </w:tcPr>
          <w:p w14:paraId="4664C250" w14:textId="2A7EB220" w:rsidR="009A2FFA" w:rsidRDefault="009A2FFA" w:rsidP="00640DED">
            <w:r>
              <w:t>Partenaire financier</w:t>
            </w:r>
          </w:p>
        </w:tc>
        <w:tc>
          <w:tcPr>
            <w:tcW w:w="5523" w:type="dxa"/>
            <w:shd w:val="clear" w:color="auto" w:fill="E2EFD9" w:themeFill="accent6" w:themeFillTint="33"/>
          </w:tcPr>
          <w:p w14:paraId="227F5B18" w14:textId="0FB5CD11" w:rsidR="009A2FFA" w:rsidRDefault="009A2FFA" w:rsidP="00640DED">
            <w:r>
              <w:t>Oxfam</w:t>
            </w:r>
          </w:p>
        </w:tc>
      </w:tr>
    </w:tbl>
    <w:p w14:paraId="1C0B995D" w14:textId="77777777" w:rsidR="00640DED" w:rsidRDefault="00640DED" w:rsidP="00640DED"/>
    <w:p w14:paraId="268A170B" w14:textId="573275C2" w:rsidR="00640DED" w:rsidRPr="00EC1CB6" w:rsidRDefault="00656F34" w:rsidP="00EB53AC">
      <w:pPr>
        <w:pStyle w:val="Paragraphedeliste"/>
        <w:numPr>
          <w:ilvl w:val="0"/>
          <w:numId w:val="1"/>
        </w:num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EC1CB6">
        <w:rPr>
          <w:b/>
          <w:bCs/>
          <w:color w:val="1F3864" w:themeColor="accent1" w:themeShade="80"/>
          <w:sz w:val="24"/>
          <w:szCs w:val="24"/>
        </w:rPr>
        <w:t>Contexte général</w:t>
      </w:r>
    </w:p>
    <w:p w14:paraId="4CD26AC5" w14:textId="07BE5BC0" w:rsidR="007C17D9" w:rsidRPr="00EC1CB6" w:rsidRDefault="007C17D9" w:rsidP="00EB53A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kern w:val="2"/>
          <w14:ligatures w14:val="standardContextual"/>
        </w:rPr>
      </w:pPr>
      <w:bookmarkStart w:id="0" w:name="_Hlk115701370"/>
      <w:r w:rsidRPr="00EC1CB6">
        <w:rPr>
          <w:rFonts w:asciiTheme="minorHAnsi" w:hAnsiTheme="minorHAnsi" w:cstheme="minorBidi"/>
          <w:color w:val="auto"/>
          <w:kern w:val="2"/>
          <w14:ligatures w14:val="standardContextual"/>
        </w:rPr>
        <w:t>L’ADFM, accompagne depuis 2007, les femmes Soulaliyates</w:t>
      </w:r>
      <w:r w:rsidR="00EB53AC" w:rsidRPr="00EC1CB6">
        <w:rPr>
          <w:rFonts w:asciiTheme="minorHAnsi" w:hAnsiTheme="minorHAnsi" w:cstheme="minorBidi"/>
          <w:color w:val="auto"/>
          <w:kern w:val="2"/>
          <w14:ligatures w14:val="standardContextual"/>
        </w:rPr>
        <w:t xml:space="preserve"> (</w:t>
      </w:r>
      <w:r w:rsidR="00EC1CB6" w:rsidRPr="00EC1CB6">
        <w:rPr>
          <w:rFonts w:asciiTheme="minorHAnsi" w:hAnsiTheme="minorHAnsi" w:cstheme="minorBidi"/>
          <w:color w:val="auto"/>
          <w:kern w:val="2"/>
          <w14:ligatures w14:val="standardContextual"/>
        </w:rPr>
        <w:t>FS) pour</w:t>
      </w:r>
      <w:r w:rsidRPr="00EC1CB6">
        <w:rPr>
          <w:rFonts w:asciiTheme="minorHAnsi" w:hAnsiTheme="minorHAnsi" w:cstheme="minorBidi"/>
          <w:color w:val="auto"/>
          <w:kern w:val="2"/>
          <w14:ligatures w14:val="standardContextual"/>
        </w:rPr>
        <w:t xml:space="preserve"> leur reconnaissance comme ayant droits aux terres collectives au même titre que les hommes. Cet accompagnement a permis la naissance, à travers le Maroc, d’un mouvement des femmes Soulaliyates qui revendiquent des dispositions légales reconnaissant aux femmes le droit de jouissance effectif aux terres collectives. </w:t>
      </w:r>
    </w:p>
    <w:p w14:paraId="3F56E707" w14:textId="77777777" w:rsidR="007C17D9" w:rsidRPr="00EC1CB6" w:rsidRDefault="007C17D9" w:rsidP="00EB53A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kern w:val="2"/>
          <w14:ligatures w14:val="standardContextual"/>
        </w:rPr>
      </w:pPr>
    </w:p>
    <w:p w14:paraId="03E9C639" w14:textId="77777777" w:rsidR="007C17D9" w:rsidRPr="00EC1CB6" w:rsidRDefault="007C17D9" w:rsidP="007C17D9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kern w:val="2"/>
          <w14:ligatures w14:val="standardContextual"/>
        </w:rPr>
      </w:pPr>
      <w:r w:rsidRPr="00EC1CB6">
        <w:rPr>
          <w:rFonts w:asciiTheme="minorHAnsi" w:hAnsiTheme="minorHAnsi" w:cstheme="minorBidi"/>
          <w:color w:val="auto"/>
          <w:kern w:val="2"/>
          <w14:ligatures w14:val="standardContextual"/>
        </w:rPr>
        <w:t xml:space="preserve">A partir de 2009, trois circulaires ministérielles reconnaissent les Soulaliyates comme des ayants droits aux terres collectives au même titre que les hommes. Ces progrès ont été consolidés par la promulgation à partir de juillet 2019 d’un nouveau cadre juridique et réglementaire, notamment la loi 62.17 relative à la tutelle administrative sur les communautés Soulaliyates et la gestion de leurs biens ainsi que de son décret d’application. </w:t>
      </w:r>
    </w:p>
    <w:p w14:paraId="3A66218B" w14:textId="77777777" w:rsidR="007C17D9" w:rsidRPr="00EC1CB6" w:rsidRDefault="007C17D9" w:rsidP="007C17D9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kern w:val="2"/>
          <w14:ligatures w14:val="standardContextual"/>
        </w:rPr>
      </w:pPr>
    </w:p>
    <w:p w14:paraId="171953CE" w14:textId="21E97FF4" w:rsidR="007C17D9" w:rsidRPr="00EC1CB6" w:rsidRDefault="007C17D9" w:rsidP="00BC400B">
      <w:pPr>
        <w:spacing w:line="252" w:lineRule="auto"/>
        <w:jc w:val="both"/>
        <w:rPr>
          <w:sz w:val="24"/>
          <w:szCs w:val="24"/>
        </w:rPr>
      </w:pPr>
      <w:r w:rsidRPr="00EC1CB6">
        <w:rPr>
          <w:sz w:val="24"/>
          <w:szCs w:val="24"/>
        </w:rPr>
        <w:t xml:space="preserve">Cette loi stipule que les femmes Soulaliyates, peuvent se prévaloir des biens de la communauté à laquelle elles appartiennent et accéder à ses organes de gouvernance. L’application de cette loi devrait en principe consolider le processus entamé depuis 2007 pour la reconnaissance effective des Soulaliyates comme ayants droits aux terres collectives. </w:t>
      </w:r>
      <w:r w:rsidR="00DE0073" w:rsidRPr="00EC1CB6">
        <w:rPr>
          <w:sz w:val="24"/>
          <w:szCs w:val="24"/>
        </w:rPr>
        <w:t>Cependant, cette</w:t>
      </w:r>
      <w:r w:rsidR="00BC400B" w:rsidRPr="00EC1CB6">
        <w:rPr>
          <w:sz w:val="24"/>
          <w:szCs w:val="24"/>
        </w:rPr>
        <w:t xml:space="preserve"> loi n’est pas appliquée de manière uniforme dans toutes les régions et les femmes </w:t>
      </w:r>
      <w:r w:rsidR="00EC1CB6">
        <w:rPr>
          <w:sz w:val="24"/>
          <w:szCs w:val="24"/>
        </w:rPr>
        <w:t>S</w:t>
      </w:r>
      <w:r w:rsidR="00BC400B" w:rsidRPr="00EC1CB6">
        <w:rPr>
          <w:sz w:val="24"/>
          <w:szCs w:val="24"/>
        </w:rPr>
        <w:t>oulalyates doivent continuer leur mobilisation pour assurer la veille et le plaidoyer pour une bonne application de la loi</w:t>
      </w:r>
      <w:r w:rsidR="00A014F5" w:rsidRPr="00EC1CB6">
        <w:rPr>
          <w:sz w:val="24"/>
          <w:szCs w:val="24"/>
        </w:rPr>
        <w:t xml:space="preserve">. Dans ce cadre, l’ADFM, lance un appel </w:t>
      </w:r>
      <w:r w:rsidR="00142A21" w:rsidRPr="00EC1CB6">
        <w:rPr>
          <w:sz w:val="24"/>
          <w:szCs w:val="24"/>
        </w:rPr>
        <w:t>à</w:t>
      </w:r>
      <w:r w:rsidR="00A014F5" w:rsidRPr="00EC1CB6">
        <w:rPr>
          <w:sz w:val="24"/>
          <w:szCs w:val="24"/>
        </w:rPr>
        <w:t xml:space="preserve"> consultation pour la réalisation d’un film documentaire qui retrace le processus entamé par les FS pour la revendication de leurs droits</w:t>
      </w:r>
      <w:r w:rsidR="00EC1CB6" w:rsidRPr="00EC1CB6">
        <w:rPr>
          <w:sz w:val="24"/>
          <w:szCs w:val="24"/>
        </w:rPr>
        <w:t> ;</w:t>
      </w:r>
    </w:p>
    <w:p w14:paraId="291020FF" w14:textId="77777777" w:rsidR="00EC1CB6" w:rsidRPr="007C17D9" w:rsidRDefault="00EC1CB6" w:rsidP="00BC400B">
      <w:pPr>
        <w:spacing w:line="252" w:lineRule="auto"/>
        <w:jc w:val="both"/>
      </w:pPr>
    </w:p>
    <w:bookmarkEnd w:id="0"/>
    <w:p w14:paraId="153B6DDD" w14:textId="1660276F" w:rsidR="00656F34" w:rsidRPr="00EC1CB6" w:rsidRDefault="00656F34" w:rsidP="00656F34">
      <w:pPr>
        <w:pStyle w:val="Paragraphedeliste"/>
        <w:numPr>
          <w:ilvl w:val="0"/>
          <w:numId w:val="1"/>
        </w:numPr>
        <w:rPr>
          <w:b/>
          <w:bCs/>
          <w:color w:val="1F3864" w:themeColor="accent1" w:themeShade="80"/>
          <w:sz w:val="24"/>
          <w:szCs w:val="24"/>
        </w:rPr>
      </w:pPr>
      <w:r w:rsidRPr="00EC1CB6">
        <w:rPr>
          <w:b/>
          <w:bCs/>
          <w:color w:val="1F3864" w:themeColor="accent1" w:themeShade="80"/>
          <w:sz w:val="24"/>
          <w:szCs w:val="24"/>
        </w:rPr>
        <w:lastRenderedPageBreak/>
        <w:t>Objectifs de la prestation</w:t>
      </w:r>
    </w:p>
    <w:p w14:paraId="0080D484" w14:textId="5EC1327F" w:rsidR="00E06E14" w:rsidRPr="00EC1CB6" w:rsidRDefault="00E06E14" w:rsidP="00EC1CB6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EC1CB6">
        <w:rPr>
          <w:b/>
          <w:bCs/>
          <w:color w:val="1F3864" w:themeColor="accent1" w:themeShade="80"/>
          <w:sz w:val="24"/>
          <w:szCs w:val="24"/>
        </w:rPr>
        <w:t>Objectif global</w:t>
      </w:r>
    </w:p>
    <w:p w14:paraId="270868E8" w14:textId="231A3825" w:rsidR="00E06E14" w:rsidRPr="00EC1CB6" w:rsidRDefault="00E06E14" w:rsidP="00EC1CB6">
      <w:pPr>
        <w:spacing w:after="0"/>
        <w:rPr>
          <w:sz w:val="24"/>
          <w:szCs w:val="24"/>
        </w:rPr>
      </w:pPr>
      <w:r w:rsidRPr="00EC1CB6">
        <w:rPr>
          <w:sz w:val="24"/>
          <w:szCs w:val="24"/>
        </w:rPr>
        <w:t xml:space="preserve">Retracer l’histoire du mouvement des FS </w:t>
      </w:r>
      <w:r w:rsidR="003F67B8" w:rsidRPr="00EC1CB6">
        <w:rPr>
          <w:sz w:val="24"/>
          <w:szCs w:val="24"/>
        </w:rPr>
        <w:t xml:space="preserve">dans un film documentaire </w:t>
      </w:r>
    </w:p>
    <w:p w14:paraId="03BD5BE5" w14:textId="77777777" w:rsidR="00EC1CB6" w:rsidRDefault="00EC1CB6" w:rsidP="00EC1CB6">
      <w:pPr>
        <w:spacing w:after="0"/>
        <w:rPr>
          <w:b/>
          <w:bCs/>
          <w:color w:val="1F3864" w:themeColor="accent1" w:themeShade="80"/>
          <w:sz w:val="24"/>
          <w:szCs w:val="24"/>
        </w:rPr>
      </w:pPr>
    </w:p>
    <w:p w14:paraId="0981C812" w14:textId="5E79DA6C" w:rsidR="00E06E14" w:rsidRPr="00EC1CB6" w:rsidRDefault="00E06E14" w:rsidP="00EC1CB6">
      <w:p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EC1CB6">
        <w:rPr>
          <w:b/>
          <w:bCs/>
          <w:color w:val="1F3864" w:themeColor="accent1" w:themeShade="80"/>
          <w:sz w:val="24"/>
          <w:szCs w:val="24"/>
        </w:rPr>
        <w:t xml:space="preserve">Objectifs spécifiques </w:t>
      </w:r>
    </w:p>
    <w:p w14:paraId="075A794A" w14:textId="505924B3" w:rsidR="00102288" w:rsidRDefault="00E06E14" w:rsidP="00EC1CB6">
      <w:pPr>
        <w:spacing w:after="0"/>
        <w:jc w:val="both"/>
        <w:rPr>
          <w:sz w:val="24"/>
          <w:szCs w:val="24"/>
        </w:rPr>
      </w:pPr>
      <w:r w:rsidRPr="00EC1CB6">
        <w:rPr>
          <w:sz w:val="24"/>
          <w:szCs w:val="24"/>
        </w:rPr>
        <w:t xml:space="preserve">Réaliser un film documentaire </w:t>
      </w:r>
      <w:r w:rsidR="003F67B8" w:rsidRPr="00EC1CB6">
        <w:rPr>
          <w:sz w:val="24"/>
          <w:szCs w:val="24"/>
        </w:rPr>
        <w:t>qui valorise les expériences menées et les bonnes pratiques relatives au plaidoyer mené par les FS à </w:t>
      </w:r>
      <w:r w:rsidR="00142A21" w:rsidRPr="00EC1CB6">
        <w:rPr>
          <w:sz w:val="24"/>
          <w:szCs w:val="24"/>
        </w:rPr>
        <w:t>travers la</w:t>
      </w:r>
      <w:r w:rsidRPr="00EC1CB6">
        <w:rPr>
          <w:sz w:val="24"/>
          <w:szCs w:val="24"/>
        </w:rPr>
        <w:t xml:space="preserve"> compilation des vidéos et </w:t>
      </w:r>
      <w:r w:rsidR="00142A21" w:rsidRPr="00EC1CB6">
        <w:rPr>
          <w:sz w:val="24"/>
          <w:szCs w:val="24"/>
        </w:rPr>
        <w:t xml:space="preserve">l’ensemble des </w:t>
      </w:r>
      <w:r w:rsidRPr="00EC1CB6">
        <w:rPr>
          <w:sz w:val="24"/>
          <w:szCs w:val="24"/>
        </w:rPr>
        <w:t xml:space="preserve">supports </w:t>
      </w:r>
      <w:r w:rsidR="00EC1CB6" w:rsidRPr="00EC1CB6">
        <w:rPr>
          <w:sz w:val="24"/>
          <w:szCs w:val="24"/>
        </w:rPr>
        <w:t>existants.</w:t>
      </w:r>
    </w:p>
    <w:p w14:paraId="23CE12B1" w14:textId="77777777" w:rsidR="00EC1CB6" w:rsidRPr="00EC1CB6" w:rsidRDefault="00EC1CB6" w:rsidP="00EC1CB6">
      <w:pPr>
        <w:spacing w:after="0"/>
        <w:jc w:val="both"/>
        <w:rPr>
          <w:sz w:val="24"/>
          <w:szCs w:val="24"/>
        </w:rPr>
      </w:pPr>
    </w:p>
    <w:p w14:paraId="0640D770" w14:textId="1BDC82AC" w:rsidR="00B06681" w:rsidRDefault="00B06681" w:rsidP="00EB53AC">
      <w:pPr>
        <w:pStyle w:val="Paragraphedeliste"/>
        <w:numPr>
          <w:ilvl w:val="0"/>
          <w:numId w:val="1"/>
        </w:num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EC1CB6">
        <w:rPr>
          <w:b/>
          <w:bCs/>
          <w:color w:val="1F3864" w:themeColor="accent1" w:themeShade="80"/>
          <w:sz w:val="24"/>
          <w:szCs w:val="24"/>
        </w:rPr>
        <w:t>Description de la prestation</w:t>
      </w:r>
    </w:p>
    <w:p w14:paraId="0A66B412" w14:textId="77777777" w:rsidR="00EC1CB6" w:rsidRDefault="00EC1CB6" w:rsidP="00EB53AC">
      <w:pPr>
        <w:spacing w:after="0"/>
        <w:jc w:val="both"/>
        <w:rPr>
          <w:sz w:val="24"/>
          <w:szCs w:val="24"/>
          <w:u w:val="single"/>
        </w:rPr>
      </w:pPr>
    </w:p>
    <w:p w14:paraId="2F9A2E98" w14:textId="6085DC71" w:rsidR="00F179BD" w:rsidRPr="00EC1CB6" w:rsidRDefault="00F179BD" w:rsidP="00EB53AC">
      <w:pPr>
        <w:spacing w:after="0"/>
        <w:jc w:val="both"/>
        <w:rPr>
          <w:sz w:val="24"/>
          <w:szCs w:val="24"/>
        </w:rPr>
      </w:pPr>
      <w:r w:rsidRPr="00EC1CB6">
        <w:rPr>
          <w:sz w:val="24"/>
          <w:szCs w:val="24"/>
          <w:u w:val="single"/>
        </w:rPr>
        <w:t>Le scénario</w:t>
      </w:r>
      <w:r w:rsidRPr="00EC1CB6">
        <w:rPr>
          <w:sz w:val="24"/>
          <w:szCs w:val="24"/>
        </w:rPr>
        <w:t xml:space="preserve"> mettra </w:t>
      </w:r>
      <w:r w:rsidR="003F67B8" w:rsidRPr="00EC1CB6">
        <w:rPr>
          <w:sz w:val="24"/>
          <w:szCs w:val="24"/>
        </w:rPr>
        <w:t xml:space="preserve">en scène les leaders des FS et la chronologie des actions menées depuis le début de leur action </w:t>
      </w:r>
      <w:r w:rsidR="003857CE" w:rsidRPr="00EC1CB6">
        <w:rPr>
          <w:sz w:val="24"/>
          <w:szCs w:val="24"/>
        </w:rPr>
        <w:t xml:space="preserve">de plaidoyer </w:t>
      </w:r>
      <w:r w:rsidRPr="00EC1CB6">
        <w:rPr>
          <w:sz w:val="24"/>
          <w:szCs w:val="24"/>
        </w:rPr>
        <w:t xml:space="preserve">et </w:t>
      </w:r>
      <w:r w:rsidR="00142A21" w:rsidRPr="00EC1CB6">
        <w:rPr>
          <w:sz w:val="24"/>
          <w:szCs w:val="24"/>
        </w:rPr>
        <w:t xml:space="preserve">les réussites tout comme les </w:t>
      </w:r>
      <w:r w:rsidRPr="00EC1CB6">
        <w:rPr>
          <w:sz w:val="24"/>
          <w:szCs w:val="24"/>
        </w:rPr>
        <w:t xml:space="preserve">limites dans l’accès aux droits. Il s’agira d’utiliser les supports vidéo existants, d’intégrer de l’infographie, </w:t>
      </w:r>
      <w:r w:rsidR="00AF2617" w:rsidRPr="00EC1CB6">
        <w:rPr>
          <w:sz w:val="24"/>
          <w:szCs w:val="24"/>
        </w:rPr>
        <w:t xml:space="preserve">et </w:t>
      </w:r>
      <w:r w:rsidR="00142A21" w:rsidRPr="00EC1CB6">
        <w:rPr>
          <w:sz w:val="24"/>
          <w:szCs w:val="24"/>
        </w:rPr>
        <w:t>tout autre support disponible</w:t>
      </w:r>
      <w:r w:rsidR="00AF2617" w:rsidRPr="00EC1CB6">
        <w:rPr>
          <w:sz w:val="24"/>
          <w:szCs w:val="24"/>
        </w:rPr>
        <w:t xml:space="preserve"> en respectant les critères de cohérence et clarté, et d’esthétisme audio-visuel.</w:t>
      </w:r>
    </w:p>
    <w:p w14:paraId="522EFC34" w14:textId="7D234B69" w:rsidR="004B3111" w:rsidRPr="00EC1CB6" w:rsidRDefault="004B3111" w:rsidP="00954D15">
      <w:pPr>
        <w:spacing w:after="0"/>
        <w:jc w:val="both"/>
        <w:rPr>
          <w:sz w:val="24"/>
          <w:szCs w:val="24"/>
        </w:rPr>
      </w:pPr>
      <w:r w:rsidRPr="00EC1CB6">
        <w:rPr>
          <w:sz w:val="24"/>
          <w:szCs w:val="24"/>
          <w:u w:val="single"/>
        </w:rPr>
        <w:t>Etapes de la prestation</w:t>
      </w:r>
      <w:r w:rsidRPr="00EC1CB6">
        <w:rPr>
          <w:sz w:val="24"/>
          <w:szCs w:val="24"/>
        </w:rPr>
        <w:t> :</w:t>
      </w:r>
    </w:p>
    <w:p w14:paraId="7BE37E86" w14:textId="4B21E970" w:rsidR="004B3111" w:rsidRPr="00EC1CB6" w:rsidRDefault="004B3111" w:rsidP="00954D15">
      <w:pPr>
        <w:spacing w:after="0"/>
        <w:jc w:val="both"/>
        <w:rPr>
          <w:sz w:val="24"/>
          <w:szCs w:val="24"/>
        </w:rPr>
      </w:pPr>
      <w:r w:rsidRPr="00EC1CB6">
        <w:rPr>
          <w:sz w:val="24"/>
          <w:szCs w:val="24"/>
        </w:rPr>
        <w:t>Le prestataire devra obtenir la validation formelle du Groupe de travail</w:t>
      </w:r>
      <w:r w:rsidR="00154C56" w:rsidRPr="00EC1CB6">
        <w:rPr>
          <w:sz w:val="24"/>
          <w:szCs w:val="24"/>
        </w:rPr>
        <w:t xml:space="preserve"> (GDT)</w:t>
      </w:r>
      <w:r w:rsidRPr="00EC1CB6">
        <w:rPr>
          <w:sz w:val="24"/>
          <w:szCs w:val="24"/>
        </w:rPr>
        <w:t xml:space="preserve"> du projet </w:t>
      </w:r>
      <w:r w:rsidR="000C6F44" w:rsidRPr="00EC1CB6">
        <w:rPr>
          <w:sz w:val="24"/>
          <w:szCs w:val="24"/>
        </w:rPr>
        <w:t>à</w:t>
      </w:r>
      <w:r w:rsidRPr="00EC1CB6">
        <w:rPr>
          <w:sz w:val="24"/>
          <w:szCs w:val="24"/>
        </w:rPr>
        <w:t xml:space="preserve"> chacune des étapes suivantes :</w:t>
      </w:r>
    </w:p>
    <w:p w14:paraId="42B8C911" w14:textId="401F8CBC" w:rsidR="000C6F44" w:rsidRPr="00EC1CB6" w:rsidRDefault="000C6F44" w:rsidP="0031758E">
      <w:pPr>
        <w:pStyle w:val="Paragraphedeliste"/>
        <w:numPr>
          <w:ilvl w:val="0"/>
          <w:numId w:val="9"/>
        </w:numPr>
        <w:ind w:hanging="407"/>
        <w:jc w:val="both"/>
        <w:rPr>
          <w:sz w:val="24"/>
          <w:szCs w:val="24"/>
        </w:rPr>
      </w:pPr>
      <w:r w:rsidRPr="00EC1CB6">
        <w:rPr>
          <w:sz w:val="24"/>
          <w:szCs w:val="24"/>
        </w:rPr>
        <w:t>Analyse des supports existants</w:t>
      </w:r>
    </w:p>
    <w:p w14:paraId="2474879E" w14:textId="1A60B7CD" w:rsidR="000C6F44" w:rsidRPr="00EC1CB6" w:rsidRDefault="000C6F44" w:rsidP="0031758E">
      <w:pPr>
        <w:pStyle w:val="Paragraphedeliste"/>
        <w:numPr>
          <w:ilvl w:val="0"/>
          <w:numId w:val="9"/>
        </w:numPr>
        <w:ind w:hanging="407"/>
        <w:jc w:val="both"/>
        <w:rPr>
          <w:sz w:val="24"/>
          <w:szCs w:val="24"/>
        </w:rPr>
      </w:pPr>
      <w:r w:rsidRPr="00EC1CB6">
        <w:rPr>
          <w:sz w:val="24"/>
          <w:szCs w:val="24"/>
        </w:rPr>
        <w:t xml:space="preserve">Développement du scénario : le prestataire présentera le scénario au GDT lors d’une réunion de travail. Le scénario comprendra les </w:t>
      </w:r>
      <w:r w:rsidR="00154C56" w:rsidRPr="00EC1CB6">
        <w:rPr>
          <w:sz w:val="24"/>
          <w:szCs w:val="24"/>
        </w:rPr>
        <w:t>scènes</w:t>
      </w:r>
      <w:r w:rsidRPr="00EC1CB6">
        <w:rPr>
          <w:sz w:val="24"/>
          <w:szCs w:val="24"/>
        </w:rPr>
        <w:t xml:space="preserve"> exactes, les messages clés, la mise en </w:t>
      </w:r>
      <w:r w:rsidR="00154C56" w:rsidRPr="00EC1CB6">
        <w:rPr>
          <w:sz w:val="24"/>
          <w:szCs w:val="24"/>
        </w:rPr>
        <w:t>scène.</w:t>
      </w:r>
    </w:p>
    <w:p w14:paraId="3E1C43E0" w14:textId="75981CFF" w:rsidR="000C6F44" w:rsidRPr="00EC1CB6" w:rsidRDefault="000C6F44" w:rsidP="0031758E">
      <w:pPr>
        <w:pStyle w:val="Paragraphedeliste"/>
        <w:numPr>
          <w:ilvl w:val="0"/>
          <w:numId w:val="9"/>
        </w:numPr>
        <w:ind w:hanging="407"/>
        <w:jc w:val="both"/>
        <w:rPr>
          <w:sz w:val="24"/>
          <w:szCs w:val="24"/>
        </w:rPr>
      </w:pPr>
      <w:r w:rsidRPr="00EC1CB6">
        <w:rPr>
          <w:sz w:val="24"/>
          <w:szCs w:val="24"/>
        </w:rPr>
        <w:t>Finalisation</w:t>
      </w:r>
      <w:r w:rsidR="000B7794" w:rsidRPr="00EC1CB6">
        <w:rPr>
          <w:sz w:val="24"/>
          <w:szCs w:val="24"/>
        </w:rPr>
        <w:t> : après avoir recueilli les remarques du comité de suivi sur la 1</w:t>
      </w:r>
      <w:r w:rsidR="000B7794" w:rsidRPr="00EC1CB6">
        <w:rPr>
          <w:sz w:val="24"/>
          <w:szCs w:val="24"/>
          <w:vertAlign w:val="superscript"/>
        </w:rPr>
        <w:t>re</w:t>
      </w:r>
      <w:r w:rsidR="000B7794" w:rsidRPr="00EC1CB6">
        <w:rPr>
          <w:sz w:val="24"/>
          <w:szCs w:val="24"/>
        </w:rPr>
        <w:t xml:space="preserve"> version du film monté, le prestataire intègre les modifications nécessaires et réalise le montage final.</w:t>
      </w:r>
    </w:p>
    <w:p w14:paraId="268E6785" w14:textId="3044D4BC" w:rsidR="000B7794" w:rsidRPr="00EC1CB6" w:rsidRDefault="000B7794" w:rsidP="0031758E">
      <w:pPr>
        <w:pStyle w:val="Paragraphedeliste"/>
        <w:numPr>
          <w:ilvl w:val="0"/>
          <w:numId w:val="9"/>
        </w:numPr>
        <w:ind w:hanging="407"/>
        <w:jc w:val="both"/>
        <w:rPr>
          <w:sz w:val="24"/>
          <w:szCs w:val="24"/>
        </w:rPr>
      </w:pPr>
      <w:r w:rsidRPr="00EC1CB6">
        <w:rPr>
          <w:sz w:val="24"/>
          <w:szCs w:val="24"/>
        </w:rPr>
        <w:t xml:space="preserve">Envoi des produits finaux : le film est délivré en support DVD, en </w:t>
      </w:r>
      <w:r w:rsidR="009919D3" w:rsidRPr="00EC1CB6">
        <w:rPr>
          <w:sz w:val="24"/>
          <w:szCs w:val="24"/>
        </w:rPr>
        <w:t>A</w:t>
      </w:r>
      <w:r w:rsidRPr="00EC1CB6">
        <w:rPr>
          <w:sz w:val="24"/>
          <w:szCs w:val="24"/>
        </w:rPr>
        <w:t xml:space="preserve">rabe et </w:t>
      </w:r>
      <w:r w:rsidR="009919D3" w:rsidRPr="00EC1CB6">
        <w:rPr>
          <w:sz w:val="24"/>
          <w:szCs w:val="24"/>
        </w:rPr>
        <w:t>A</w:t>
      </w:r>
      <w:r w:rsidRPr="00EC1CB6">
        <w:rPr>
          <w:sz w:val="24"/>
          <w:szCs w:val="24"/>
        </w:rPr>
        <w:t>mazigh, sous-titrage en arabe / tamazigh / français.</w:t>
      </w:r>
    </w:p>
    <w:p w14:paraId="23F25AD4" w14:textId="7F557214" w:rsidR="0007682D" w:rsidRPr="00EC1CB6" w:rsidRDefault="0007682D" w:rsidP="00EB53AC">
      <w:pPr>
        <w:spacing w:after="0"/>
        <w:jc w:val="both"/>
        <w:rPr>
          <w:sz w:val="24"/>
          <w:szCs w:val="24"/>
          <w:u w:val="single"/>
        </w:rPr>
      </w:pPr>
      <w:r w:rsidRPr="00EC1CB6">
        <w:rPr>
          <w:sz w:val="24"/>
          <w:szCs w:val="24"/>
          <w:u w:val="single"/>
        </w:rPr>
        <w:t xml:space="preserve">A noter que : </w:t>
      </w:r>
    </w:p>
    <w:p w14:paraId="5B9E6A5B" w14:textId="2AF3192A" w:rsidR="00B06681" w:rsidRPr="00EC1CB6" w:rsidRDefault="00B06681" w:rsidP="00EB53AC">
      <w:pPr>
        <w:pStyle w:val="Paragraphedeliste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EC1CB6">
        <w:rPr>
          <w:sz w:val="24"/>
          <w:szCs w:val="24"/>
        </w:rPr>
        <w:t>Le prestataire devra se mettre en parfaite conformité avec la législation en vigueur concernant le droit à l’image (faire signer des autorisations avant de filmer, photographier, etc.).</w:t>
      </w:r>
    </w:p>
    <w:p w14:paraId="3B29B138" w14:textId="69A7017C" w:rsidR="009E1C92" w:rsidRPr="00EC1CB6" w:rsidRDefault="009E1C92" w:rsidP="0007682D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EC1CB6">
        <w:rPr>
          <w:sz w:val="24"/>
          <w:szCs w:val="24"/>
        </w:rPr>
        <w:t>Le générique de fin devra faire apparaitre pendant au moins 5 secondes le nom et les logos des partenaires techniques et financiers du projet qui seront fournis au prestataire.</w:t>
      </w:r>
    </w:p>
    <w:p w14:paraId="11D63ED5" w14:textId="2C7F7B5A" w:rsidR="009E1C92" w:rsidRPr="00EC1CB6" w:rsidRDefault="009E1C92" w:rsidP="0007682D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EC1CB6">
        <w:rPr>
          <w:sz w:val="24"/>
          <w:szCs w:val="24"/>
        </w:rPr>
        <w:t>Toutes les productions dans le cadre de cet appel seront la propriété de l’ADFM.</w:t>
      </w:r>
    </w:p>
    <w:p w14:paraId="09822C82" w14:textId="77777777" w:rsidR="0007682D" w:rsidRPr="00EC1CB6" w:rsidRDefault="0007682D" w:rsidP="00EB53AC">
      <w:pPr>
        <w:pStyle w:val="Paragraphedeliste"/>
        <w:spacing w:after="0"/>
        <w:jc w:val="both"/>
        <w:rPr>
          <w:sz w:val="24"/>
          <w:szCs w:val="24"/>
        </w:rPr>
      </w:pPr>
    </w:p>
    <w:p w14:paraId="5C5E8C30" w14:textId="77777777" w:rsidR="00EB53AC" w:rsidRPr="00EC1CB6" w:rsidRDefault="00463C1E" w:rsidP="00EB53A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  <w:lang w:eastAsia="fr-FR"/>
        </w:rPr>
      </w:pPr>
      <w:r w:rsidRPr="00EC1CB6">
        <w:rPr>
          <w:b/>
          <w:bCs/>
          <w:color w:val="1F3864" w:themeColor="accent1" w:themeShade="80"/>
          <w:sz w:val="24"/>
          <w:szCs w:val="24"/>
        </w:rPr>
        <w:t>Profil du prestataire</w:t>
      </w:r>
    </w:p>
    <w:p w14:paraId="011A5B19" w14:textId="77777777" w:rsidR="00EC1CB6" w:rsidRPr="00EC1CB6" w:rsidRDefault="00EC1CB6" w:rsidP="00EC1CB6">
      <w:pPr>
        <w:pStyle w:val="Paragraphedeliste"/>
        <w:spacing w:after="0" w:line="240" w:lineRule="auto"/>
        <w:jc w:val="both"/>
        <w:rPr>
          <w:color w:val="000000"/>
          <w:sz w:val="24"/>
          <w:szCs w:val="24"/>
          <w:lang w:eastAsia="fr-FR"/>
        </w:rPr>
      </w:pPr>
    </w:p>
    <w:p w14:paraId="5B09C5E9" w14:textId="2D6A26C8" w:rsidR="000648A8" w:rsidRPr="00EC1CB6" w:rsidRDefault="000648A8" w:rsidP="00EB53AC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fr-FR"/>
        </w:rPr>
      </w:pPr>
      <w:r w:rsidRPr="00EC1CB6">
        <w:rPr>
          <w:rFonts w:cs="Calibri"/>
          <w:bCs/>
          <w:sz w:val="24"/>
          <w:szCs w:val="24"/>
        </w:rPr>
        <w:t xml:space="preserve">Le prestataire doit justifier </w:t>
      </w:r>
      <w:r w:rsidRPr="00EC1CB6">
        <w:rPr>
          <w:color w:val="000000"/>
          <w:sz w:val="24"/>
          <w:szCs w:val="24"/>
          <w:lang w:eastAsia="fr-FR"/>
        </w:rPr>
        <w:t xml:space="preserve"> </w:t>
      </w:r>
    </w:p>
    <w:p w14:paraId="20FA65BE" w14:textId="77777777" w:rsidR="000648A8" w:rsidRPr="00EC1CB6" w:rsidRDefault="000648A8" w:rsidP="000648A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contextualSpacing/>
        <w:jc w:val="both"/>
        <w:outlineLvl w:val="0"/>
        <w:rPr>
          <w:rFonts w:eastAsia="Batang" w:cstheme="majorBidi"/>
          <w:kern w:val="36"/>
          <w:sz w:val="24"/>
          <w:szCs w:val="24"/>
          <w:lang w:eastAsia="fr-FR"/>
        </w:rPr>
      </w:pPr>
      <w:r w:rsidRPr="00EC1CB6">
        <w:rPr>
          <w:rFonts w:eastAsia="Batang" w:cstheme="majorBidi"/>
          <w:kern w:val="36"/>
          <w:sz w:val="24"/>
          <w:szCs w:val="24"/>
          <w:lang w:eastAsia="fr-FR"/>
        </w:rPr>
        <w:t>De capacités techniques suffisantes et d’une expertise confirmée en matière de production de supports audiovisuels : films, documentaires, spots publicitaires, reportages journalistiques et autres ;</w:t>
      </w:r>
    </w:p>
    <w:p w14:paraId="411DDDA6" w14:textId="77777777" w:rsidR="000648A8" w:rsidRPr="00EC1CB6" w:rsidRDefault="000648A8" w:rsidP="000648A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contextualSpacing/>
        <w:jc w:val="both"/>
        <w:outlineLvl w:val="0"/>
        <w:rPr>
          <w:rFonts w:eastAsia="Batang" w:cstheme="majorBidi"/>
          <w:kern w:val="36"/>
          <w:sz w:val="24"/>
          <w:szCs w:val="24"/>
          <w:lang w:eastAsia="fr-FR"/>
        </w:rPr>
      </w:pPr>
      <w:r w:rsidRPr="00EC1CB6">
        <w:rPr>
          <w:rFonts w:eastAsia="Batang" w:cstheme="majorBidi"/>
          <w:kern w:val="36"/>
          <w:sz w:val="24"/>
          <w:szCs w:val="24"/>
          <w:lang w:eastAsia="fr-FR"/>
        </w:rPr>
        <w:lastRenderedPageBreak/>
        <w:t>De compétences en matière de traitement de l’image, montage, prise de son et éclairage ;</w:t>
      </w:r>
    </w:p>
    <w:p w14:paraId="31CD08EA" w14:textId="1D20C200" w:rsidR="000648A8" w:rsidRPr="00EC1CB6" w:rsidRDefault="000648A8" w:rsidP="000648A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contextualSpacing/>
        <w:jc w:val="both"/>
        <w:outlineLvl w:val="0"/>
        <w:rPr>
          <w:rFonts w:eastAsia="Batang" w:cstheme="majorBidi"/>
          <w:kern w:val="36"/>
          <w:sz w:val="24"/>
          <w:szCs w:val="24"/>
          <w:lang w:eastAsia="fr-FR"/>
        </w:rPr>
      </w:pPr>
      <w:r w:rsidRPr="00EC1CB6">
        <w:rPr>
          <w:rFonts w:eastAsia="Batang" w:cstheme="majorBidi"/>
          <w:kern w:val="36"/>
          <w:sz w:val="24"/>
          <w:szCs w:val="24"/>
          <w:lang w:eastAsia="fr-FR"/>
        </w:rPr>
        <w:t>De plus de trois productions</w:t>
      </w:r>
    </w:p>
    <w:p w14:paraId="3EDD32C1" w14:textId="2E79225B" w:rsidR="000648A8" w:rsidRDefault="000648A8" w:rsidP="000648A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contextualSpacing/>
        <w:jc w:val="both"/>
        <w:outlineLvl w:val="0"/>
        <w:rPr>
          <w:rFonts w:eastAsia="Batang" w:cstheme="majorBidi"/>
          <w:kern w:val="36"/>
          <w:sz w:val="24"/>
          <w:szCs w:val="24"/>
          <w:lang w:eastAsia="fr-FR"/>
        </w:rPr>
      </w:pPr>
      <w:r w:rsidRPr="00EC1CB6">
        <w:rPr>
          <w:rFonts w:eastAsia="Batang" w:cstheme="majorBidi"/>
          <w:kern w:val="36"/>
          <w:sz w:val="24"/>
          <w:szCs w:val="24"/>
          <w:lang w:eastAsia="fr-FR"/>
        </w:rPr>
        <w:t>D’une maîtrise des langues arabe et française.</w:t>
      </w:r>
      <w:r w:rsidR="00142A21" w:rsidRPr="00EC1CB6">
        <w:rPr>
          <w:rFonts w:eastAsia="Batang" w:cstheme="majorBidi"/>
          <w:kern w:val="36"/>
          <w:sz w:val="24"/>
          <w:szCs w:val="24"/>
          <w:lang w:eastAsia="fr-FR"/>
        </w:rPr>
        <w:t xml:space="preserve">  </w:t>
      </w:r>
    </w:p>
    <w:p w14:paraId="051E5CE6" w14:textId="77777777" w:rsidR="00EC1CB6" w:rsidRPr="00EC1CB6" w:rsidRDefault="00EC1CB6" w:rsidP="00EC1CB6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outlineLvl w:val="0"/>
        <w:rPr>
          <w:rFonts w:eastAsia="Batang" w:cstheme="majorBidi"/>
          <w:kern w:val="36"/>
          <w:sz w:val="24"/>
          <w:szCs w:val="24"/>
          <w:lang w:eastAsia="fr-FR"/>
        </w:rPr>
      </w:pPr>
    </w:p>
    <w:p w14:paraId="0736D348" w14:textId="45C128C2" w:rsidR="00656F34" w:rsidRDefault="00B06681" w:rsidP="00EB53AC">
      <w:pPr>
        <w:pStyle w:val="Paragraphedeliste"/>
        <w:numPr>
          <w:ilvl w:val="0"/>
          <w:numId w:val="1"/>
        </w:numPr>
        <w:spacing w:after="0"/>
        <w:rPr>
          <w:b/>
          <w:bCs/>
          <w:color w:val="1F3864" w:themeColor="accent1" w:themeShade="80"/>
          <w:sz w:val="24"/>
          <w:szCs w:val="24"/>
        </w:rPr>
      </w:pPr>
      <w:r w:rsidRPr="00EC1CB6">
        <w:rPr>
          <w:b/>
          <w:bCs/>
          <w:color w:val="1F3864" w:themeColor="accent1" w:themeShade="80"/>
          <w:sz w:val="24"/>
          <w:szCs w:val="24"/>
        </w:rPr>
        <w:t xml:space="preserve">Calendrier et </w:t>
      </w:r>
      <w:r w:rsidR="00656F34" w:rsidRPr="00EC1CB6">
        <w:rPr>
          <w:b/>
          <w:bCs/>
          <w:color w:val="1F3864" w:themeColor="accent1" w:themeShade="80"/>
          <w:sz w:val="24"/>
          <w:szCs w:val="24"/>
        </w:rPr>
        <w:t>Budget</w:t>
      </w:r>
    </w:p>
    <w:p w14:paraId="168C77C9" w14:textId="77777777" w:rsidR="00EC1CB6" w:rsidRPr="00EC1CB6" w:rsidRDefault="00EC1CB6" w:rsidP="00EC1CB6">
      <w:pPr>
        <w:pStyle w:val="Paragraphedeliste"/>
        <w:spacing w:after="0"/>
        <w:rPr>
          <w:b/>
          <w:bCs/>
          <w:color w:val="1F3864" w:themeColor="accent1" w:themeShade="80"/>
          <w:sz w:val="24"/>
          <w:szCs w:val="24"/>
        </w:rPr>
      </w:pPr>
    </w:p>
    <w:p w14:paraId="41CEB142" w14:textId="6D426861" w:rsidR="009E1C92" w:rsidRPr="00EC1CB6" w:rsidRDefault="003857CE" w:rsidP="00EB53AC">
      <w:pPr>
        <w:spacing w:after="0"/>
        <w:rPr>
          <w:sz w:val="24"/>
          <w:szCs w:val="24"/>
        </w:rPr>
      </w:pPr>
      <w:r w:rsidRPr="00EC1CB6">
        <w:rPr>
          <w:sz w:val="24"/>
          <w:szCs w:val="24"/>
        </w:rPr>
        <w:t>10</w:t>
      </w:r>
      <w:r w:rsidR="009E1C92" w:rsidRPr="00EC1CB6">
        <w:rPr>
          <w:sz w:val="24"/>
          <w:szCs w:val="24"/>
        </w:rPr>
        <w:t xml:space="preserve"> jours de travail sont à effectuer courant </w:t>
      </w:r>
      <w:r w:rsidR="00102288" w:rsidRPr="00EC1CB6">
        <w:rPr>
          <w:sz w:val="24"/>
          <w:szCs w:val="24"/>
        </w:rPr>
        <w:t>juin</w:t>
      </w:r>
      <w:r w:rsidR="009E1C92" w:rsidRPr="00EC1CB6">
        <w:rPr>
          <w:sz w:val="24"/>
          <w:szCs w:val="24"/>
        </w:rPr>
        <w:t xml:space="preserve"> pour un livrable final à présenter le </w:t>
      </w:r>
      <w:r w:rsidR="00EB53AC" w:rsidRPr="00EC1CB6">
        <w:rPr>
          <w:sz w:val="24"/>
          <w:szCs w:val="24"/>
        </w:rPr>
        <w:t xml:space="preserve">au plus tard le </w:t>
      </w:r>
      <w:r w:rsidRPr="00EC1CB6">
        <w:rPr>
          <w:sz w:val="24"/>
          <w:szCs w:val="24"/>
        </w:rPr>
        <w:t xml:space="preserve">30 JUIN </w:t>
      </w:r>
      <w:r w:rsidR="009E1C92" w:rsidRPr="00EC1CB6">
        <w:rPr>
          <w:sz w:val="24"/>
          <w:szCs w:val="24"/>
        </w:rPr>
        <w:t xml:space="preserve"> 2023.</w:t>
      </w:r>
    </w:p>
    <w:p w14:paraId="10714745" w14:textId="64C7CDBF" w:rsidR="00EC1CB6" w:rsidRDefault="00931AAE" w:rsidP="00931AAE">
      <w:pPr>
        <w:rPr>
          <w:sz w:val="24"/>
          <w:szCs w:val="24"/>
        </w:rPr>
      </w:pPr>
      <w:r w:rsidRPr="00EC1CB6">
        <w:rPr>
          <w:sz w:val="24"/>
          <w:szCs w:val="24"/>
        </w:rPr>
        <w:t xml:space="preserve">Le budget alloué à cette </w:t>
      </w:r>
      <w:r w:rsidR="00E7064F" w:rsidRPr="00EC1CB6">
        <w:rPr>
          <w:sz w:val="24"/>
          <w:szCs w:val="24"/>
        </w:rPr>
        <w:t xml:space="preserve">prestation est de </w:t>
      </w:r>
      <w:r w:rsidR="00F914DE" w:rsidRPr="00EC1CB6">
        <w:rPr>
          <w:sz w:val="24"/>
          <w:szCs w:val="24"/>
        </w:rPr>
        <w:t>30</w:t>
      </w:r>
      <w:r w:rsidR="00E7064F" w:rsidRPr="00EC1CB6">
        <w:rPr>
          <w:sz w:val="24"/>
          <w:szCs w:val="24"/>
        </w:rPr>
        <w:t> </w:t>
      </w:r>
      <w:r w:rsidR="00F914DE" w:rsidRPr="00EC1CB6">
        <w:rPr>
          <w:sz w:val="24"/>
          <w:szCs w:val="24"/>
        </w:rPr>
        <w:t>4</w:t>
      </w:r>
      <w:r w:rsidR="00E7064F" w:rsidRPr="00EC1CB6">
        <w:rPr>
          <w:sz w:val="24"/>
          <w:szCs w:val="24"/>
        </w:rPr>
        <w:t xml:space="preserve">00 MAD </w:t>
      </w:r>
      <w:r w:rsidR="00D111B5" w:rsidRPr="00EC1CB6">
        <w:rPr>
          <w:sz w:val="24"/>
          <w:szCs w:val="24"/>
        </w:rPr>
        <w:t>TTC.</w:t>
      </w:r>
    </w:p>
    <w:p w14:paraId="3C7CD162" w14:textId="77777777" w:rsidR="00EC1CB6" w:rsidRPr="00EC1CB6" w:rsidRDefault="00EC1CB6" w:rsidP="00931AAE">
      <w:pPr>
        <w:rPr>
          <w:sz w:val="24"/>
          <w:szCs w:val="24"/>
        </w:rPr>
      </w:pPr>
    </w:p>
    <w:p w14:paraId="3B6272A5" w14:textId="4260AD96" w:rsidR="00656F34" w:rsidRPr="00EC1CB6" w:rsidRDefault="00656F34" w:rsidP="00656F34">
      <w:pPr>
        <w:pStyle w:val="Paragraphedeliste"/>
        <w:numPr>
          <w:ilvl w:val="0"/>
          <w:numId w:val="1"/>
        </w:numPr>
        <w:rPr>
          <w:b/>
          <w:bCs/>
          <w:color w:val="1F3864" w:themeColor="accent1" w:themeShade="80"/>
          <w:sz w:val="24"/>
          <w:szCs w:val="24"/>
        </w:rPr>
      </w:pPr>
      <w:r w:rsidRPr="00EC1CB6">
        <w:rPr>
          <w:b/>
          <w:bCs/>
          <w:color w:val="1F3864" w:themeColor="accent1" w:themeShade="80"/>
          <w:sz w:val="24"/>
          <w:szCs w:val="24"/>
        </w:rPr>
        <w:t>Soumission d’une offre</w:t>
      </w:r>
    </w:p>
    <w:p w14:paraId="5200ED77" w14:textId="3108FF9B" w:rsidR="00656F34" w:rsidRPr="00EC1CB6" w:rsidRDefault="00656F34" w:rsidP="00656F34">
      <w:pPr>
        <w:rPr>
          <w:sz w:val="24"/>
          <w:szCs w:val="24"/>
        </w:rPr>
      </w:pPr>
      <w:r w:rsidRPr="00EC1CB6">
        <w:rPr>
          <w:sz w:val="24"/>
          <w:szCs w:val="24"/>
        </w:rPr>
        <w:t>Une offre technique et offre financière</w:t>
      </w:r>
      <w:r w:rsidR="00D111B5" w:rsidRPr="00EC1CB6">
        <w:rPr>
          <w:sz w:val="24"/>
          <w:szCs w:val="24"/>
        </w:rPr>
        <w:t xml:space="preserve"> ainsi que les références du prestataire, doivent</w:t>
      </w:r>
      <w:r w:rsidRPr="00EC1CB6">
        <w:rPr>
          <w:sz w:val="24"/>
          <w:szCs w:val="24"/>
        </w:rPr>
        <w:t xml:space="preserve"> être soumises</w:t>
      </w:r>
      <w:r w:rsidR="00E7064F" w:rsidRPr="00EC1CB6">
        <w:rPr>
          <w:sz w:val="24"/>
          <w:szCs w:val="24"/>
        </w:rPr>
        <w:t xml:space="preserve"> par email</w:t>
      </w:r>
      <w:r w:rsidRPr="00EC1CB6">
        <w:rPr>
          <w:sz w:val="24"/>
          <w:szCs w:val="24"/>
        </w:rPr>
        <w:t xml:space="preserve"> à </w:t>
      </w:r>
      <w:hyperlink r:id="rId9" w:history="1">
        <w:r w:rsidR="003857CE" w:rsidRPr="00EC1CB6">
          <w:rPr>
            <w:rStyle w:val="Lienhypertexte"/>
            <w:sz w:val="24"/>
            <w:szCs w:val="24"/>
          </w:rPr>
          <w:t>association.adfm@gmail.com</w:t>
        </w:r>
      </w:hyperlink>
      <w:r w:rsidR="003857CE" w:rsidRPr="00EC1CB6">
        <w:rPr>
          <w:sz w:val="24"/>
          <w:szCs w:val="24"/>
        </w:rPr>
        <w:t xml:space="preserve"> </w:t>
      </w:r>
      <w:r w:rsidR="007F0216" w:rsidRPr="00EC1CB6">
        <w:rPr>
          <w:sz w:val="24"/>
          <w:szCs w:val="24"/>
        </w:rPr>
        <w:t xml:space="preserve">avec l’objet « soumission pour réalisation d’un film de capitalisation » </w:t>
      </w:r>
      <w:r w:rsidRPr="00EC1CB6">
        <w:rPr>
          <w:sz w:val="24"/>
          <w:szCs w:val="24"/>
        </w:rPr>
        <w:t xml:space="preserve">avant le </w:t>
      </w:r>
      <w:r w:rsidR="007F0216" w:rsidRPr="00EC1CB6">
        <w:rPr>
          <w:sz w:val="24"/>
          <w:szCs w:val="24"/>
        </w:rPr>
        <w:t>2</w:t>
      </w:r>
      <w:r w:rsidR="00DE0073" w:rsidRPr="00EC1CB6">
        <w:rPr>
          <w:sz w:val="24"/>
          <w:szCs w:val="24"/>
        </w:rPr>
        <w:t>8</w:t>
      </w:r>
      <w:r w:rsidR="007F0216" w:rsidRPr="00EC1CB6">
        <w:rPr>
          <w:sz w:val="24"/>
          <w:szCs w:val="24"/>
        </w:rPr>
        <w:t>/05/</w:t>
      </w:r>
      <w:r w:rsidRPr="00EC1CB6">
        <w:rPr>
          <w:sz w:val="24"/>
          <w:szCs w:val="24"/>
        </w:rPr>
        <w:t>2023</w:t>
      </w:r>
      <w:r w:rsidR="007F0216" w:rsidRPr="00EC1CB6">
        <w:rPr>
          <w:sz w:val="24"/>
          <w:szCs w:val="24"/>
        </w:rPr>
        <w:t xml:space="preserve"> à 16h00</w:t>
      </w:r>
      <w:r w:rsidRPr="00EC1CB6">
        <w:rPr>
          <w:sz w:val="24"/>
          <w:szCs w:val="24"/>
        </w:rPr>
        <w:t>.</w:t>
      </w:r>
    </w:p>
    <w:sectPr w:rsidR="00656F34" w:rsidRPr="00EC1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7627" w14:textId="77777777" w:rsidR="004B2F95" w:rsidRDefault="004B2F95" w:rsidP="00ED4846">
      <w:pPr>
        <w:spacing w:after="0" w:line="240" w:lineRule="auto"/>
      </w:pPr>
      <w:r>
        <w:separator/>
      </w:r>
    </w:p>
  </w:endnote>
  <w:endnote w:type="continuationSeparator" w:id="0">
    <w:p w14:paraId="123026D8" w14:textId="77777777" w:rsidR="004B2F95" w:rsidRDefault="004B2F95" w:rsidP="00ED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4D64" w14:textId="77777777" w:rsidR="00EB53AC" w:rsidRDefault="00EB53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7C64" w14:textId="70612833" w:rsidR="00EB53AC" w:rsidRPr="00640DED" w:rsidRDefault="00EB53AC" w:rsidP="00EB53AC">
    <w:pPr>
      <w:spacing w:after="60"/>
      <w:rPr>
        <w:b/>
        <w:bCs/>
        <w:sz w:val="28"/>
        <w:szCs w:val="28"/>
      </w:rPr>
    </w:pPr>
    <w:r w:rsidRPr="00EB53AC">
      <w:rPr>
        <w:sz w:val="18"/>
        <w:szCs w:val="18"/>
      </w:rPr>
      <w:t>TDR</w:t>
    </w:r>
    <w:r>
      <w:t xml:space="preserve"> </w:t>
    </w:r>
    <w:r w:rsidRPr="00EB53AC">
      <w:rPr>
        <w:sz w:val="18"/>
        <w:szCs w:val="18"/>
      </w:rPr>
      <w:t>Montage d’un film de capitalisation</w:t>
    </w:r>
    <w:r>
      <w:rPr>
        <w:sz w:val="18"/>
        <w:szCs w:val="18"/>
      </w:rPr>
      <w:t>. ADFM mai 2023</w:t>
    </w:r>
  </w:p>
  <w:p w14:paraId="27988A19" w14:textId="63A4E862" w:rsidR="00EB53AC" w:rsidRDefault="00EB53AC">
    <w:pPr>
      <w:pStyle w:val="Pieddepage"/>
    </w:pPr>
  </w:p>
  <w:p w14:paraId="4B789373" w14:textId="77777777" w:rsidR="00EB53AC" w:rsidRDefault="00EB53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9BCB" w14:textId="77777777" w:rsidR="00EB53AC" w:rsidRDefault="00EB53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3A92" w14:textId="77777777" w:rsidR="004B2F95" w:rsidRDefault="004B2F95" w:rsidP="00ED4846">
      <w:pPr>
        <w:spacing w:after="0" w:line="240" w:lineRule="auto"/>
      </w:pPr>
      <w:r>
        <w:separator/>
      </w:r>
    </w:p>
  </w:footnote>
  <w:footnote w:type="continuationSeparator" w:id="0">
    <w:p w14:paraId="168CECDB" w14:textId="77777777" w:rsidR="004B2F95" w:rsidRDefault="004B2F95" w:rsidP="00ED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90FD" w14:textId="77777777" w:rsidR="00EB53AC" w:rsidRDefault="00EB53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493680"/>
      <w:docPartObj>
        <w:docPartGallery w:val="Page Numbers (Top of Page)"/>
        <w:docPartUnique/>
      </w:docPartObj>
    </w:sdtPr>
    <w:sdtContent>
      <w:p w14:paraId="3CEC28C2" w14:textId="551CC597" w:rsidR="00CB641F" w:rsidRDefault="00CB641F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F0948" w14:textId="77777777" w:rsidR="00EB53AC" w:rsidRDefault="00EB53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E013" w14:textId="77777777" w:rsidR="00EB53AC" w:rsidRDefault="00EB53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10D"/>
    <w:multiLevelType w:val="hybridMultilevel"/>
    <w:tmpl w:val="0B0C23D4"/>
    <w:lvl w:ilvl="0" w:tplc="040C000F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2203"/>
    <w:multiLevelType w:val="hybridMultilevel"/>
    <w:tmpl w:val="1B088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7B6"/>
    <w:multiLevelType w:val="hybridMultilevel"/>
    <w:tmpl w:val="02C46B2C"/>
    <w:lvl w:ilvl="0" w:tplc="BFEA0264">
      <w:numFmt w:val="bullet"/>
      <w:lvlText w:val="-"/>
      <w:lvlJc w:val="left"/>
      <w:pPr>
        <w:ind w:left="1116" w:hanging="756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266"/>
    <w:multiLevelType w:val="hybridMultilevel"/>
    <w:tmpl w:val="F64436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0636"/>
    <w:multiLevelType w:val="hybridMultilevel"/>
    <w:tmpl w:val="810874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5D74"/>
    <w:multiLevelType w:val="hybridMultilevel"/>
    <w:tmpl w:val="E118F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23939"/>
    <w:multiLevelType w:val="hybridMultilevel"/>
    <w:tmpl w:val="2FDEC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7628"/>
    <w:multiLevelType w:val="hybridMultilevel"/>
    <w:tmpl w:val="B904505A"/>
    <w:lvl w:ilvl="0" w:tplc="040C0001">
      <w:start w:val="1"/>
      <w:numFmt w:val="bullet"/>
      <w:lvlText w:val=""/>
      <w:lvlJc w:val="left"/>
      <w:pPr>
        <w:ind w:left="1116" w:hanging="75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339CC"/>
    <w:multiLevelType w:val="hybridMultilevel"/>
    <w:tmpl w:val="5184C780"/>
    <w:lvl w:ilvl="0" w:tplc="7FAC628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C7273"/>
    <w:multiLevelType w:val="hybridMultilevel"/>
    <w:tmpl w:val="FDF8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57A06"/>
    <w:multiLevelType w:val="hybridMultilevel"/>
    <w:tmpl w:val="056082A0"/>
    <w:lvl w:ilvl="0" w:tplc="BDDE7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109245">
    <w:abstractNumId w:val="6"/>
  </w:num>
  <w:num w:numId="2" w16cid:durableId="786312463">
    <w:abstractNumId w:val="5"/>
  </w:num>
  <w:num w:numId="3" w16cid:durableId="599726593">
    <w:abstractNumId w:val="3"/>
  </w:num>
  <w:num w:numId="4" w16cid:durableId="452287050">
    <w:abstractNumId w:val="10"/>
  </w:num>
  <w:num w:numId="5" w16cid:durableId="1349140290">
    <w:abstractNumId w:val="8"/>
  </w:num>
  <w:num w:numId="6" w16cid:durableId="1307585675">
    <w:abstractNumId w:val="2"/>
  </w:num>
  <w:num w:numId="7" w16cid:durableId="413744305">
    <w:abstractNumId w:val="2"/>
  </w:num>
  <w:num w:numId="8" w16cid:durableId="1514756659">
    <w:abstractNumId w:val="7"/>
  </w:num>
  <w:num w:numId="9" w16cid:durableId="129636069">
    <w:abstractNumId w:val="0"/>
  </w:num>
  <w:num w:numId="10" w16cid:durableId="1242330139">
    <w:abstractNumId w:val="4"/>
  </w:num>
  <w:num w:numId="11" w16cid:durableId="1872188574">
    <w:abstractNumId w:val="1"/>
  </w:num>
  <w:num w:numId="12" w16cid:durableId="1942832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72"/>
    <w:rsid w:val="0002438A"/>
    <w:rsid w:val="000648A8"/>
    <w:rsid w:val="0007682D"/>
    <w:rsid w:val="000B7794"/>
    <w:rsid w:val="000C6F44"/>
    <w:rsid w:val="00102288"/>
    <w:rsid w:val="001116B0"/>
    <w:rsid w:val="00126DDE"/>
    <w:rsid w:val="00142A21"/>
    <w:rsid w:val="00154C56"/>
    <w:rsid w:val="00173EC7"/>
    <w:rsid w:val="001B7574"/>
    <w:rsid w:val="001F0EED"/>
    <w:rsid w:val="002A6DA5"/>
    <w:rsid w:val="002E5413"/>
    <w:rsid w:val="0030456F"/>
    <w:rsid w:val="0031758E"/>
    <w:rsid w:val="003857CE"/>
    <w:rsid w:val="00395E33"/>
    <w:rsid w:val="003F67B8"/>
    <w:rsid w:val="004120A0"/>
    <w:rsid w:val="00463C1E"/>
    <w:rsid w:val="004B2F95"/>
    <w:rsid w:val="004B3111"/>
    <w:rsid w:val="004E6850"/>
    <w:rsid w:val="004F1E72"/>
    <w:rsid w:val="00551291"/>
    <w:rsid w:val="00567DCE"/>
    <w:rsid w:val="0058456A"/>
    <w:rsid w:val="00640DED"/>
    <w:rsid w:val="00654A13"/>
    <w:rsid w:val="00656F34"/>
    <w:rsid w:val="006758E6"/>
    <w:rsid w:val="006B71A7"/>
    <w:rsid w:val="00716866"/>
    <w:rsid w:val="007211A8"/>
    <w:rsid w:val="00726BEC"/>
    <w:rsid w:val="00766004"/>
    <w:rsid w:val="007838CD"/>
    <w:rsid w:val="007B026F"/>
    <w:rsid w:val="007C17D9"/>
    <w:rsid w:val="007F0216"/>
    <w:rsid w:val="008E1D75"/>
    <w:rsid w:val="00915C8A"/>
    <w:rsid w:val="00931AAE"/>
    <w:rsid w:val="00954D15"/>
    <w:rsid w:val="009919D3"/>
    <w:rsid w:val="009A2FFA"/>
    <w:rsid w:val="009E1C92"/>
    <w:rsid w:val="00A014F5"/>
    <w:rsid w:val="00AB003B"/>
    <w:rsid w:val="00AC4FB7"/>
    <w:rsid w:val="00AD605F"/>
    <w:rsid w:val="00AD69AA"/>
    <w:rsid w:val="00AE1E86"/>
    <w:rsid w:val="00AF2617"/>
    <w:rsid w:val="00B06681"/>
    <w:rsid w:val="00B132A5"/>
    <w:rsid w:val="00B244D2"/>
    <w:rsid w:val="00B25EE0"/>
    <w:rsid w:val="00B908E3"/>
    <w:rsid w:val="00BC400B"/>
    <w:rsid w:val="00C1597F"/>
    <w:rsid w:val="00C673E3"/>
    <w:rsid w:val="00CB641F"/>
    <w:rsid w:val="00CC6747"/>
    <w:rsid w:val="00D111B5"/>
    <w:rsid w:val="00D664C1"/>
    <w:rsid w:val="00D878FF"/>
    <w:rsid w:val="00DD3904"/>
    <w:rsid w:val="00DD3FD7"/>
    <w:rsid w:val="00DE0073"/>
    <w:rsid w:val="00DE19DC"/>
    <w:rsid w:val="00DF345E"/>
    <w:rsid w:val="00E06E14"/>
    <w:rsid w:val="00E53002"/>
    <w:rsid w:val="00E7064F"/>
    <w:rsid w:val="00EB53AC"/>
    <w:rsid w:val="00EC1CB6"/>
    <w:rsid w:val="00ED4846"/>
    <w:rsid w:val="00F179BD"/>
    <w:rsid w:val="00F5385F"/>
    <w:rsid w:val="00F914DE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890C"/>
  <w15:chartTrackingRefBased/>
  <w15:docId w15:val="{4A042497-9D35-4E59-9FC9-0565F9A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8E1D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aliases w:val="Titre1,List Paragraph1,Recommendation,List Paragraph11,L,List Paragraph2,CV text,Table text,F5 List Paragraph,Dot pt,List Paragraph111,Medium Grid 1 - Accent 21,Numbered Paragraph,Bullet text,Bullet 1,Numbered Para 1,No Spacing1"/>
    <w:basedOn w:val="Normal"/>
    <w:link w:val="ParagraphedelisteCar"/>
    <w:uiPriority w:val="34"/>
    <w:qFormat/>
    <w:rsid w:val="00656F3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48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48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4846"/>
    <w:rPr>
      <w:vertAlign w:val="superscript"/>
    </w:rPr>
  </w:style>
  <w:style w:type="character" w:customStyle="1" w:styleId="ParagraphedelisteCar">
    <w:name w:val="Paragraphe de liste Car"/>
    <w:aliases w:val="Titre1 Car,List Paragraph1 Car,Recommendation Car,List Paragraph11 Car,L Car,List Paragraph2 Car,CV text Car,Table text Car,F5 List Paragraph Car,Dot pt Car,List Paragraph111 Car,Medium Grid 1 - Accent 21 Car,Bullet text Car"/>
    <w:link w:val="Paragraphedeliste"/>
    <w:uiPriority w:val="34"/>
    <w:qFormat/>
    <w:locked/>
    <w:rsid w:val="007C17D9"/>
  </w:style>
  <w:style w:type="paragraph" w:customStyle="1" w:styleId="Default">
    <w:name w:val="Default"/>
    <w:rsid w:val="007C17D9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kern w:val="0"/>
      <w:sz w:val="24"/>
      <w:szCs w:val="24"/>
      <w14:ligatures w14:val="none"/>
    </w:rPr>
  </w:style>
  <w:style w:type="character" w:styleId="Lienhypertexte">
    <w:name w:val="Hyperlink"/>
    <w:basedOn w:val="Policepardfaut"/>
    <w:uiPriority w:val="99"/>
    <w:unhideWhenUsed/>
    <w:rsid w:val="003857C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857C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B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3AC"/>
  </w:style>
  <w:style w:type="paragraph" w:styleId="Pieddepage">
    <w:name w:val="footer"/>
    <w:basedOn w:val="Normal"/>
    <w:link w:val="PieddepageCar"/>
    <w:uiPriority w:val="99"/>
    <w:unhideWhenUsed/>
    <w:rsid w:val="00EB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tion.adf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CA4C-9569-4F58-9B91-30F4A4E4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Desk</dc:creator>
  <cp:keywords/>
  <dc:description/>
  <cp:lastModifiedBy>Amina Lotfi</cp:lastModifiedBy>
  <cp:revision>6</cp:revision>
  <dcterms:created xsi:type="dcterms:W3CDTF">2023-05-16T13:39:00Z</dcterms:created>
  <dcterms:modified xsi:type="dcterms:W3CDTF">2023-05-16T14:00:00Z</dcterms:modified>
</cp:coreProperties>
</file>