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D7EF7" w14:textId="0B75C54C" w:rsidR="00A71C1A" w:rsidRDefault="00B21729" w:rsidP="007038CD">
      <w:pPr>
        <w:jc w:val="center"/>
        <w:rPr>
          <w:b/>
          <w:sz w:val="24"/>
          <w:szCs w:val="24"/>
        </w:rPr>
      </w:pPr>
      <w:r>
        <w:rPr>
          <w:b/>
          <w:sz w:val="28"/>
          <w:szCs w:val="28"/>
        </w:rPr>
        <w:t xml:space="preserve">Termes de référence pour </w:t>
      </w:r>
      <w:r w:rsidR="001F248C">
        <w:rPr>
          <w:b/>
          <w:sz w:val="28"/>
          <w:szCs w:val="28"/>
        </w:rPr>
        <w:t>la recherche</w:t>
      </w:r>
      <w:r>
        <w:rPr>
          <w:b/>
          <w:sz w:val="28"/>
          <w:szCs w:val="28"/>
        </w:rPr>
        <w:t xml:space="preserve"> d’une </w:t>
      </w:r>
      <w:r w:rsidR="00D048E8">
        <w:rPr>
          <w:b/>
          <w:sz w:val="28"/>
          <w:szCs w:val="28"/>
        </w:rPr>
        <w:t xml:space="preserve">société de consulting ou d’un consultant individuel </w:t>
      </w:r>
      <w:r>
        <w:rPr>
          <w:b/>
          <w:sz w:val="28"/>
          <w:szCs w:val="28"/>
        </w:rPr>
        <w:t xml:space="preserve">pour </w:t>
      </w:r>
      <w:r w:rsidR="00D048E8">
        <w:rPr>
          <w:b/>
          <w:sz w:val="28"/>
          <w:szCs w:val="28"/>
        </w:rPr>
        <w:t xml:space="preserve">l’évaluation finale du projet </w:t>
      </w:r>
      <w:r w:rsidR="005A5B6E">
        <w:rPr>
          <w:b/>
          <w:sz w:val="28"/>
          <w:szCs w:val="28"/>
        </w:rPr>
        <w:t>« </w:t>
      </w:r>
      <w:r w:rsidR="00D048E8">
        <w:rPr>
          <w:b/>
          <w:sz w:val="30"/>
          <w:szCs w:val="30"/>
        </w:rPr>
        <w:t>Ensemble pour l’enfance. Koulouna min Ajl Atoufoula</w:t>
      </w:r>
      <w:r w:rsidR="005A5B6E">
        <w:rPr>
          <w:b/>
          <w:sz w:val="30"/>
          <w:szCs w:val="30"/>
        </w:rPr>
        <w:t> »</w:t>
      </w:r>
      <w:r w:rsidR="00D048E8">
        <w:rPr>
          <w:b/>
          <w:sz w:val="30"/>
          <w:szCs w:val="30"/>
        </w:rPr>
        <w:t xml:space="preserve"> ENI/2020/421660</w:t>
      </w:r>
    </w:p>
    <w:tbl>
      <w:tblPr>
        <w:tblStyle w:val="a8"/>
        <w:tblW w:w="93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621"/>
      </w:tblGrid>
      <w:tr w:rsidR="00A71C1A" w14:paraId="497E696A" w14:textId="77777777" w:rsidTr="007038CD">
        <w:trPr>
          <w:trHeight w:val="511"/>
        </w:trPr>
        <w:tc>
          <w:tcPr>
            <w:tcW w:w="2694" w:type="dxa"/>
            <w:shd w:val="clear" w:color="auto" w:fill="auto"/>
            <w:tcMar>
              <w:top w:w="80" w:type="dxa"/>
              <w:left w:w="656" w:type="dxa"/>
              <w:bottom w:w="80" w:type="dxa"/>
              <w:right w:w="80" w:type="dxa"/>
            </w:tcMar>
          </w:tcPr>
          <w:p w14:paraId="7A0C8AC4" w14:textId="77777777" w:rsidR="00A71C1A" w:rsidRDefault="00A71C1A" w:rsidP="007038CD">
            <w:pPr>
              <w:spacing w:after="0" w:line="240" w:lineRule="auto"/>
              <w:rPr>
                <w:b/>
              </w:rPr>
            </w:pPr>
          </w:p>
          <w:p w14:paraId="4E347484" w14:textId="3481B34F" w:rsidR="00A71C1A" w:rsidRDefault="005A5B6E" w:rsidP="007038CD">
            <w:pPr>
              <w:spacing w:after="0" w:line="240" w:lineRule="auto"/>
              <w:ind w:left="-540"/>
              <w:rPr>
                <w:b/>
              </w:rPr>
            </w:pPr>
            <w:r>
              <w:rPr>
                <w:b/>
              </w:rPr>
              <w:t>Mission</w:t>
            </w:r>
          </w:p>
        </w:tc>
        <w:tc>
          <w:tcPr>
            <w:tcW w:w="6621" w:type="dxa"/>
          </w:tcPr>
          <w:p w14:paraId="220589A6" w14:textId="3B2C540F" w:rsidR="00A71C1A" w:rsidRPr="007038CD" w:rsidRDefault="005A5B6E" w:rsidP="007038CD">
            <w:pPr>
              <w:spacing w:after="0" w:line="240" w:lineRule="auto"/>
              <w:rPr>
                <w:bCs/>
              </w:rPr>
            </w:pPr>
            <w:r w:rsidRPr="007038CD">
              <w:rPr>
                <w:bCs/>
              </w:rPr>
              <w:t>Réalisation de l’évaluation finale du projet « Ensemble pour l’enfance. Koulouna min Ajl Atoufoula »</w:t>
            </w:r>
          </w:p>
        </w:tc>
      </w:tr>
      <w:tr w:rsidR="00A71C1A" w14:paraId="3D32D611" w14:textId="77777777" w:rsidTr="007038CD">
        <w:trPr>
          <w:trHeight w:val="521"/>
        </w:trPr>
        <w:tc>
          <w:tcPr>
            <w:tcW w:w="2694" w:type="dxa"/>
            <w:shd w:val="clear" w:color="auto" w:fill="auto"/>
            <w:tcMar>
              <w:top w:w="80" w:type="dxa"/>
              <w:left w:w="656" w:type="dxa"/>
              <w:bottom w:w="80" w:type="dxa"/>
              <w:right w:w="80" w:type="dxa"/>
            </w:tcMar>
          </w:tcPr>
          <w:p w14:paraId="119EE59F" w14:textId="77777777" w:rsidR="00A71C1A" w:rsidRDefault="00A71C1A" w:rsidP="007038CD">
            <w:pPr>
              <w:spacing w:after="0" w:line="240" w:lineRule="auto"/>
              <w:rPr>
                <w:b/>
              </w:rPr>
            </w:pPr>
          </w:p>
          <w:p w14:paraId="6406C485" w14:textId="62E4106F" w:rsidR="00A71C1A" w:rsidRDefault="007038CD" w:rsidP="007038CD">
            <w:pPr>
              <w:spacing w:after="0" w:line="240" w:lineRule="auto"/>
              <w:ind w:left="-540"/>
              <w:rPr>
                <w:b/>
              </w:rPr>
            </w:pPr>
            <w:r>
              <w:rPr>
                <w:b/>
              </w:rPr>
              <w:t>Organisme</w:t>
            </w:r>
          </w:p>
        </w:tc>
        <w:tc>
          <w:tcPr>
            <w:tcW w:w="6621" w:type="dxa"/>
          </w:tcPr>
          <w:p w14:paraId="72AE05E5" w14:textId="77777777" w:rsidR="00A71C1A" w:rsidRPr="007038CD" w:rsidRDefault="00A71C1A" w:rsidP="007038CD">
            <w:pPr>
              <w:spacing w:after="0" w:line="240" w:lineRule="auto"/>
              <w:rPr>
                <w:bCs/>
              </w:rPr>
            </w:pPr>
          </w:p>
          <w:p w14:paraId="19250B65" w14:textId="2EA1A887" w:rsidR="00A71C1A" w:rsidRPr="007038CD" w:rsidRDefault="006F001C" w:rsidP="007038CD">
            <w:pPr>
              <w:spacing w:after="0" w:line="240" w:lineRule="auto"/>
              <w:rPr>
                <w:bCs/>
              </w:rPr>
            </w:pPr>
            <w:r w:rsidRPr="007038CD">
              <w:rPr>
                <w:bCs/>
              </w:rPr>
              <w:t>Association Ai.Bi. Maroc – Amis des Enfants</w:t>
            </w:r>
          </w:p>
        </w:tc>
      </w:tr>
      <w:tr w:rsidR="006F001C" w:rsidRPr="007038CD" w14:paraId="144E7CE6" w14:textId="77777777" w:rsidTr="007038CD">
        <w:trPr>
          <w:trHeight w:val="248"/>
        </w:trPr>
        <w:tc>
          <w:tcPr>
            <w:tcW w:w="2694" w:type="dxa"/>
            <w:shd w:val="clear" w:color="auto" w:fill="auto"/>
            <w:tcMar>
              <w:top w:w="80" w:type="dxa"/>
              <w:left w:w="80" w:type="dxa"/>
              <w:bottom w:w="80" w:type="dxa"/>
              <w:right w:w="80" w:type="dxa"/>
            </w:tcMar>
          </w:tcPr>
          <w:p w14:paraId="401DA7B8" w14:textId="77777777" w:rsidR="006F001C" w:rsidRDefault="006F001C" w:rsidP="007038CD">
            <w:pPr>
              <w:spacing w:after="0" w:line="240" w:lineRule="auto"/>
              <w:rPr>
                <w:b/>
              </w:rPr>
            </w:pPr>
          </w:p>
          <w:p w14:paraId="66052EC8" w14:textId="738650EF" w:rsidR="006F001C" w:rsidRPr="007038CD" w:rsidRDefault="006F001C" w:rsidP="007038CD">
            <w:pPr>
              <w:spacing w:after="0" w:line="240" w:lineRule="auto"/>
              <w:rPr>
                <w:b/>
              </w:rPr>
            </w:pPr>
            <w:r w:rsidRPr="007038CD">
              <w:rPr>
                <w:b/>
              </w:rPr>
              <w:t>Partenaires</w:t>
            </w:r>
          </w:p>
        </w:tc>
        <w:tc>
          <w:tcPr>
            <w:tcW w:w="6621" w:type="dxa"/>
          </w:tcPr>
          <w:p w14:paraId="31D85E47" w14:textId="77777777" w:rsidR="006F001C" w:rsidRPr="007038CD" w:rsidRDefault="006F001C" w:rsidP="007038CD">
            <w:pPr>
              <w:spacing w:after="0" w:line="240" w:lineRule="auto"/>
              <w:rPr>
                <w:bCs/>
              </w:rPr>
            </w:pPr>
            <w:r w:rsidRPr="007038CD">
              <w:rPr>
                <w:bCs/>
              </w:rPr>
              <w:t>Fondation Rita Zniber</w:t>
            </w:r>
          </w:p>
          <w:p w14:paraId="6FE08B57" w14:textId="3D9DC9BC" w:rsidR="006F001C" w:rsidRPr="007038CD" w:rsidRDefault="006F001C" w:rsidP="007038CD">
            <w:pPr>
              <w:spacing w:after="0" w:line="240" w:lineRule="auto"/>
              <w:rPr>
                <w:bCs/>
              </w:rPr>
            </w:pPr>
            <w:r w:rsidRPr="007038CD">
              <w:rPr>
                <w:bCs/>
              </w:rPr>
              <w:t>Association Pionniers du Changement du Développement</w:t>
            </w:r>
            <w:r w:rsidR="007038CD">
              <w:rPr>
                <w:bCs/>
              </w:rPr>
              <w:t xml:space="preserve"> et de la Culture</w:t>
            </w:r>
          </w:p>
        </w:tc>
      </w:tr>
      <w:tr w:rsidR="00A71C1A" w14:paraId="0C200A04" w14:textId="77777777" w:rsidTr="007038CD">
        <w:trPr>
          <w:trHeight w:val="248"/>
        </w:trPr>
        <w:tc>
          <w:tcPr>
            <w:tcW w:w="2694" w:type="dxa"/>
            <w:shd w:val="clear" w:color="auto" w:fill="auto"/>
            <w:tcMar>
              <w:top w:w="80" w:type="dxa"/>
              <w:left w:w="80" w:type="dxa"/>
              <w:bottom w:w="80" w:type="dxa"/>
              <w:right w:w="80" w:type="dxa"/>
            </w:tcMar>
          </w:tcPr>
          <w:p w14:paraId="624B22BD" w14:textId="54A593E5" w:rsidR="00A71C1A" w:rsidRDefault="00F8729A" w:rsidP="007038CD">
            <w:pPr>
              <w:spacing w:after="0" w:line="240" w:lineRule="auto"/>
              <w:rPr>
                <w:b/>
              </w:rPr>
            </w:pPr>
            <w:sdt>
              <w:sdtPr>
                <w:tag w:val="goog_rdk_0"/>
                <w:id w:val="-629707777"/>
              </w:sdtPr>
              <w:sdtEndPr/>
              <w:sdtContent/>
            </w:sdt>
          </w:p>
          <w:p w14:paraId="1D02BC3C" w14:textId="02FD9CC8" w:rsidR="00A71C1A" w:rsidRDefault="006F001C" w:rsidP="007038CD">
            <w:pPr>
              <w:spacing w:after="0" w:line="240" w:lineRule="auto"/>
              <w:rPr>
                <w:b/>
              </w:rPr>
            </w:pPr>
            <w:r>
              <w:rPr>
                <w:b/>
              </w:rPr>
              <w:t>Zones d’intervention du projet</w:t>
            </w:r>
          </w:p>
        </w:tc>
        <w:tc>
          <w:tcPr>
            <w:tcW w:w="6621" w:type="dxa"/>
          </w:tcPr>
          <w:p w14:paraId="0CFC04B2" w14:textId="77777777" w:rsidR="00A71C1A" w:rsidRPr="007038CD" w:rsidRDefault="00A71C1A" w:rsidP="007038CD">
            <w:pPr>
              <w:spacing w:after="0" w:line="240" w:lineRule="auto"/>
              <w:rPr>
                <w:bCs/>
              </w:rPr>
            </w:pPr>
          </w:p>
          <w:p w14:paraId="3B4CCB4D" w14:textId="62B24D5B" w:rsidR="00A71C1A" w:rsidRPr="007038CD" w:rsidRDefault="006F001C" w:rsidP="007038CD">
            <w:pPr>
              <w:spacing w:after="0" w:line="240" w:lineRule="auto"/>
              <w:rPr>
                <w:bCs/>
              </w:rPr>
            </w:pPr>
            <w:r w:rsidRPr="007038CD">
              <w:rPr>
                <w:bCs/>
              </w:rPr>
              <w:t xml:space="preserve">Rabat – Meknès - </w:t>
            </w:r>
            <w:r w:rsidR="00B21729" w:rsidRPr="007038CD">
              <w:rPr>
                <w:bCs/>
              </w:rPr>
              <w:t>Oujda</w:t>
            </w:r>
          </w:p>
        </w:tc>
      </w:tr>
      <w:tr w:rsidR="00993130" w14:paraId="231A0648" w14:textId="77777777" w:rsidTr="00993130">
        <w:trPr>
          <w:trHeight w:val="248"/>
        </w:trPr>
        <w:tc>
          <w:tcPr>
            <w:tcW w:w="2694" w:type="dxa"/>
            <w:shd w:val="clear" w:color="auto" w:fill="auto"/>
            <w:tcMar>
              <w:top w:w="80" w:type="dxa"/>
              <w:left w:w="80" w:type="dxa"/>
              <w:bottom w:w="80" w:type="dxa"/>
              <w:right w:w="80" w:type="dxa"/>
            </w:tcMar>
          </w:tcPr>
          <w:p w14:paraId="5A1A611F" w14:textId="3A0724FD" w:rsidR="00993130" w:rsidRDefault="00993130" w:rsidP="00993130">
            <w:pPr>
              <w:spacing w:after="0" w:line="240" w:lineRule="auto"/>
            </w:pPr>
            <w:r>
              <w:rPr>
                <w:b/>
              </w:rPr>
              <w:t>Type de contrat</w:t>
            </w:r>
          </w:p>
        </w:tc>
        <w:tc>
          <w:tcPr>
            <w:tcW w:w="6621" w:type="dxa"/>
          </w:tcPr>
          <w:p w14:paraId="410CCCCF" w14:textId="74262677" w:rsidR="00993130" w:rsidRPr="007038CD" w:rsidRDefault="00993130" w:rsidP="00993130">
            <w:pPr>
              <w:spacing w:after="0" w:line="240" w:lineRule="auto"/>
              <w:rPr>
                <w:bCs/>
              </w:rPr>
            </w:pPr>
            <w:r w:rsidRPr="007954D5">
              <w:rPr>
                <w:bCs/>
              </w:rPr>
              <w:t>Prestation de service</w:t>
            </w:r>
          </w:p>
        </w:tc>
      </w:tr>
      <w:tr w:rsidR="00993130" w14:paraId="5AE913E3" w14:textId="77777777" w:rsidTr="002A2CE8">
        <w:trPr>
          <w:trHeight w:val="248"/>
        </w:trPr>
        <w:tc>
          <w:tcPr>
            <w:tcW w:w="2694" w:type="dxa"/>
            <w:shd w:val="clear" w:color="auto" w:fill="auto"/>
            <w:tcMar>
              <w:top w:w="80" w:type="dxa"/>
              <w:left w:w="80" w:type="dxa"/>
              <w:bottom w:w="80" w:type="dxa"/>
              <w:right w:w="80" w:type="dxa"/>
            </w:tcMar>
          </w:tcPr>
          <w:p w14:paraId="0CDABE09" w14:textId="70334D86" w:rsidR="00993130" w:rsidRPr="002A2CE8" w:rsidRDefault="00993130" w:rsidP="00993130">
            <w:pPr>
              <w:spacing w:after="0" w:line="240" w:lineRule="auto"/>
              <w:rPr>
                <w:b/>
              </w:rPr>
            </w:pPr>
            <w:r w:rsidRPr="002A2CE8">
              <w:rPr>
                <w:b/>
              </w:rPr>
              <w:t>Date limite pour la présentation des candidatures</w:t>
            </w:r>
          </w:p>
        </w:tc>
        <w:tc>
          <w:tcPr>
            <w:tcW w:w="6621" w:type="dxa"/>
            <w:shd w:val="clear" w:color="auto" w:fill="auto"/>
          </w:tcPr>
          <w:p w14:paraId="3EB9045C" w14:textId="5E32CEC8" w:rsidR="00993130" w:rsidRPr="002A2CE8" w:rsidRDefault="002A2CE8" w:rsidP="002A2CE8">
            <w:pPr>
              <w:spacing w:after="0" w:line="240" w:lineRule="auto"/>
              <w:rPr>
                <w:bCs/>
              </w:rPr>
            </w:pPr>
            <w:r w:rsidRPr="002A2CE8">
              <w:rPr>
                <w:bCs/>
              </w:rPr>
              <w:t>21</w:t>
            </w:r>
            <w:r w:rsidR="00993130" w:rsidRPr="002A2CE8">
              <w:rPr>
                <w:bCs/>
              </w:rPr>
              <w:t>/04/2023</w:t>
            </w:r>
          </w:p>
        </w:tc>
      </w:tr>
      <w:tr w:rsidR="00993130" w14:paraId="5326E4C7" w14:textId="77777777" w:rsidTr="002A2CE8">
        <w:trPr>
          <w:trHeight w:val="248"/>
        </w:trPr>
        <w:tc>
          <w:tcPr>
            <w:tcW w:w="2694" w:type="dxa"/>
            <w:shd w:val="clear" w:color="auto" w:fill="auto"/>
            <w:tcMar>
              <w:top w:w="80" w:type="dxa"/>
              <w:left w:w="80" w:type="dxa"/>
              <w:bottom w:w="80" w:type="dxa"/>
              <w:right w:w="80" w:type="dxa"/>
            </w:tcMar>
          </w:tcPr>
          <w:p w14:paraId="2C4D02C2" w14:textId="6B08F6B9" w:rsidR="00993130" w:rsidRPr="002A2CE8" w:rsidRDefault="00993130" w:rsidP="00993130">
            <w:pPr>
              <w:spacing w:after="0" w:line="240" w:lineRule="auto"/>
              <w:rPr>
                <w:b/>
              </w:rPr>
            </w:pPr>
            <w:r w:rsidRPr="002A2CE8">
              <w:rPr>
                <w:b/>
                <w:bCs/>
              </w:rPr>
              <w:t>Durée de la consultation</w:t>
            </w:r>
          </w:p>
        </w:tc>
        <w:tc>
          <w:tcPr>
            <w:tcW w:w="6621" w:type="dxa"/>
            <w:shd w:val="clear" w:color="auto" w:fill="auto"/>
          </w:tcPr>
          <w:p w14:paraId="216FA558" w14:textId="33527C64" w:rsidR="00993130" w:rsidRPr="002A2CE8" w:rsidRDefault="005577E3" w:rsidP="00993130">
            <w:pPr>
              <w:spacing w:after="0" w:line="240" w:lineRule="auto"/>
              <w:rPr>
                <w:bCs/>
              </w:rPr>
            </w:pPr>
            <w:r w:rsidRPr="002A2CE8">
              <w:rPr>
                <w:bCs/>
              </w:rPr>
              <w:t>3</w:t>
            </w:r>
            <w:r w:rsidR="00993130" w:rsidRPr="002A2CE8">
              <w:rPr>
                <w:bCs/>
              </w:rPr>
              <w:t>0 jours</w:t>
            </w:r>
          </w:p>
        </w:tc>
      </w:tr>
    </w:tbl>
    <w:p w14:paraId="442CE20B" w14:textId="77777777" w:rsidR="00A71C1A" w:rsidRDefault="00A71C1A">
      <w:pPr>
        <w:widowControl w:val="0"/>
        <w:tabs>
          <w:tab w:val="left" w:pos="709"/>
        </w:tabs>
        <w:spacing w:after="0" w:line="320" w:lineRule="auto"/>
        <w:ind w:right="58"/>
        <w:jc w:val="both"/>
        <w:rPr>
          <w:b/>
          <w:sz w:val="24"/>
          <w:szCs w:val="24"/>
          <w:u w:val="single"/>
        </w:rPr>
      </w:pPr>
    </w:p>
    <w:p w14:paraId="08E88861" w14:textId="2B65F9EB" w:rsidR="00A71C1A" w:rsidRDefault="007038CD" w:rsidP="007038CD">
      <w:pPr>
        <w:widowControl w:val="0"/>
        <w:tabs>
          <w:tab w:val="left" w:pos="709"/>
        </w:tabs>
        <w:spacing w:after="0" w:line="320" w:lineRule="auto"/>
        <w:ind w:right="58"/>
        <w:jc w:val="both"/>
        <w:rPr>
          <w:b/>
          <w:sz w:val="24"/>
          <w:szCs w:val="24"/>
          <w:u w:val="single"/>
        </w:rPr>
      </w:pPr>
      <w:r>
        <w:rPr>
          <w:b/>
          <w:sz w:val="24"/>
          <w:szCs w:val="24"/>
          <w:u w:val="single"/>
        </w:rPr>
        <w:t>Organisme : Association Amis des Enfants – Ai.Bi. Maroc</w:t>
      </w:r>
      <w:r w:rsidR="00B21729">
        <w:rPr>
          <w:b/>
          <w:sz w:val="24"/>
          <w:szCs w:val="24"/>
          <w:u w:val="single"/>
        </w:rPr>
        <w:t xml:space="preserve"> </w:t>
      </w:r>
      <w:bookmarkStart w:id="0" w:name="_GoBack"/>
      <w:bookmarkEnd w:id="0"/>
    </w:p>
    <w:p w14:paraId="5BC4B68C" w14:textId="5E33BB4D" w:rsidR="00A71C1A" w:rsidRPr="007038CD" w:rsidRDefault="00B21729">
      <w:pPr>
        <w:jc w:val="both"/>
        <w:rPr>
          <w:sz w:val="24"/>
          <w:szCs w:val="24"/>
        </w:rPr>
      </w:pPr>
      <w:r w:rsidRPr="007038CD">
        <w:rPr>
          <w:sz w:val="24"/>
          <w:szCs w:val="24"/>
        </w:rPr>
        <w:t xml:space="preserve">Amis Des Enfants - Ai.Bi. Maroc est une association qui travaille au Maroc depuis 1994 avec des projets de coopération au développement au profit des enfants privés de soutien familial et qui sont accueillis dans des </w:t>
      </w:r>
      <w:r w:rsidR="00E7087D" w:rsidRPr="007038CD">
        <w:rPr>
          <w:sz w:val="24"/>
          <w:szCs w:val="24"/>
        </w:rPr>
        <w:t>Etablissements de Protection Sociale</w:t>
      </w:r>
      <w:r w:rsidRPr="007038CD">
        <w:rPr>
          <w:sz w:val="24"/>
          <w:szCs w:val="24"/>
        </w:rPr>
        <w:t xml:space="preserve">. Beaucoup d’entre eux ont dépassé l’âge de la majorité, d’autres sont en situation </w:t>
      </w:r>
      <w:r w:rsidR="00917468" w:rsidRPr="007038CD">
        <w:rPr>
          <w:sz w:val="24"/>
          <w:szCs w:val="24"/>
        </w:rPr>
        <w:t>d</w:t>
      </w:r>
      <w:r w:rsidR="00917468">
        <w:rPr>
          <w:sz w:val="24"/>
          <w:szCs w:val="24"/>
        </w:rPr>
        <w:t>’</w:t>
      </w:r>
      <w:r w:rsidRPr="007038CD">
        <w:rPr>
          <w:sz w:val="24"/>
          <w:szCs w:val="24"/>
        </w:rPr>
        <w:t>handicap et il est très difficile de trouver une famille qui puisse prendre soin d’eux.</w:t>
      </w:r>
    </w:p>
    <w:p w14:paraId="249BF360" w14:textId="01A5615A" w:rsidR="00A71C1A" w:rsidRPr="007038CD" w:rsidRDefault="00917468">
      <w:pPr>
        <w:jc w:val="both"/>
        <w:rPr>
          <w:sz w:val="24"/>
          <w:szCs w:val="24"/>
        </w:rPr>
      </w:pPr>
      <w:r>
        <w:rPr>
          <w:sz w:val="24"/>
          <w:szCs w:val="24"/>
        </w:rPr>
        <w:t>Depuis</w:t>
      </w:r>
      <w:r w:rsidR="00B21729" w:rsidRPr="007038CD">
        <w:rPr>
          <w:sz w:val="24"/>
          <w:szCs w:val="24"/>
        </w:rPr>
        <w:t xml:space="preserve"> 2006 Ai.Bi. Maroc a acheminé </w:t>
      </w:r>
      <w:r w:rsidR="006732E9">
        <w:rPr>
          <w:sz w:val="24"/>
          <w:szCs w:val="24"/>
        </w:rPr>
        <w:t>u</w:t>
      </w:r>
      <w:r w:rsidR="00B21729" w:rsidRPr="007038CD">
        <w:rPr>
          <w:sz w:val="24"/>
          <w:szCs w:val="24"/>
        </w:rPr>
        <w:t>n projet de parrainage à distance au Maroc,</w:t>
      </w:r>
      <w:r w:rsidR="006732E9">
        <w:rPr>
          <w:sz w:val="24"/>
          <w:szCs w:val="24"/>
        </w:rPr>
        <w:t xml:space="preserve"> </w:t>
      </w:r>
      <w:r w:rsidR="00B21729" w:rsidRPr="007038CD">
        <w:rPr>
          <w:sz w:val="24"/>
          <w:szCs w:val="24"/>
        </w:rPr>
        <w:t>toujours en cours, en partenariat avec plusieurs associations qui gèrent des centres d’accueil pour enfants sans soutien familial</w:t>
      </w:r>
      <w:r w:rsidR="006732E9">
        <w:rPr>
          <w:sz w:val="24"/>
          <w:szCs w:val="24"/>
        </w:rPr>
        <w:t xml:space="preserve"> ou en situation difficile</w:t>
      </w:r>
      <w:r w:rsidR="00B21729" w:rsidRPr="007038CD">
        <w:rPr>
          <w:sz w:val="24"/>
          <w:szCs w:val="24"/>
        </w:rPr>
        <w:t xml:space="preserve">. </w:t>
      </w:r>
    </w:p>
    <w:p w14:paraId="33AFD4F5" w14:textId="58F375DC" w:rsidR="00040616" w:rsidRPr="007038CD" w:rsidRDefault="00B21729" w:rsidP="007038CD">
      <w:pPr>
        <w:jc w:val="both"/>
        <w:rPr>
          <w:sz w:val="24"/>
          <w:szCs w:val="24"/>
        </w:rPr>
      </w:pPr>
      <w:r w:rsidRPr="007038CD">
        <w:rPr>
          <w:sz w:val="24"/>
          <w:szCs w:val="24"/>
        </w:rPr>
        <w:t>En parallèle, Ai.Bi. Maroc m</w:t>
      </w:r>
      <w:r w:rsidR="006732E9">
        <w:rPr>
          <w:sz w:val="24"/>
          <w:szCs w:val="24"/>
        </w:rPr>
        <w:t>et en œuvre</w:t>
      </w:r>
      <w:r w:rsidRPr="007038CD">
        <w:rPr>
          <w:sz w:val="24"/>
          <w:szCs w:val="24"/>
        </w:rPr>
        <w:t xml:space="preserve"> des projets </w:t>
      </w:r>
      <w:r w:rsidR="006732E9">
        <w:rPr>
          <w:sz w:val="24"/>
          <w:szCs w:val="24"/>
        </w:rPr>
        <w:t>visant</w:t>
      </w:r>
      <w:r w:rsidRPr="007038CD">
        <w:rPr>
          <w:sz w:val="24"/>
          <w:szCs w:val="24"/>
        </w:rPr>
        <w:t xml:space="preserve"> la protection et promotion des droits des enfants, déclinés en différentes </w:t>
      </w:r>
      <w:r w:rsidR="00040616" w:rsidRPr="00C003FC">
        <w:rPr>
          <w:sz w:val="24"/>
          <w:szCs w:val="24"/>
        </w:rPr>
        <w:t>actions</w:t>
      </w:r>
      <w:r w:rsidR="00040616">
        <w:rPr>
          <w:sz w:val="24"/>
          <w:szCs w:val="24"/>
        </w:rPr>
        <w:t xml:space="preserve">, </w:t>
      </w:r>
      <w:r w:rsidRPr="007038CD">
        <w:rPr>
          <w:sz w:val="24"/>
          <w:szCs w:val="24"/>
        </w:rPr>
        <w:t>destiné</w:t>
      </w:r>
      <w:r w:rsidR="006732E9">
        <w:rPr>
          <w:sz w:val="24"/>
          <w:szCs w:val="24"/>
        </w:rPr>
        <w:t>e</w:t>
      </w:r>
      <w:r w:rsidRPr="007038CD">
        <w:rPr>
          <w:sz w:val="24"/>
          <w:szCs w:val="24"/>
        </w:rPr>
        <w:t>s à plusieurs</w:t>
      </w:r>
      <w:r w:rsidR="006732E9">
        <w:rPr>
          <w:sz w:val="24"/>
          <w:szCs w:val="24"/>
        </w:rPr>
        <w:t xml:space="preserve"> groupes</w:t>
      </w:r>
      <w:r w:rsidRPr="007038CD">
        <w:rPr>
          <w:sz w:val="24"/>
          <w:szCs w:val="24"/>
        </w:rPr>
        <w:t xml:space="preserve"> cibles, à savoir : les enfants sans protection familiale</w:t>
      </w:r>
      <w:r w:rsidR="00040616">
        <w:rPr>
          <w:sz w:val="24"/>
          <w:szCs w:val="24"/>
        </w:rPr>
        <w:t xml:space="preserve"> ou en situation difficile</w:t>
      </w:r>
      <w:r w:rsidR="006732E9">
        <w:rPr>
          <w:sz w:val="24"/>
          <w:szCs w:val="24"/>
        </w:rPr>
        <w:t>, afin de</w:t>
      </w:r>
      <w:r w:rsidRPr="007038CD">
        <w:rPr>
          <w:sz w:val="24"/>
          <w:szCs w:val="24"/>
        </w:rPr>
        <w:t xml:space="preserve"> les accompagner dans leur parcours de vie à l’intérieur du centre et de réinsertion familiale, sociale et professionnelle ; les familles en situation de vulnérabilité et les mères cheffes de famille monoparentale</w:t>
      </w:r>
      <w:r w:rsidR="006732E9">
        <w:rPr>
          <w:sz w:val="24"/>
          <w:szCs w:val="24"/>
        </w:rPr>
        <w:t>,</w:t>
      </w:r>
      <w:r w:rsidRPr="007038CD">
        <w:rPr>
          <w:sz w:val="24"/>
          <w:szCs w:val="24"/>
        </w:rPr>
        <w:t xml:space="preserve"> afin de prévenir l’abandon de leurs enfants</w:t>
      </w:r>
      <w:r w:rsidR="00040616">
        <w:rPr>
          <w:sz w:val="24"/>
          <w:szCs w:val="24"/>
        </w:rPr>
        <w:t xml:space="preserve"> ; </w:t>
      </w:r>
      <w:r w:rsidRPr="007038CD">
        <w:rPr>
          <w:sz w:val="24"/>
          <w:szCs w:val="24"/>
        </w:rPr>
        <w:t>les enfants en contact avec la loi</w:t>
      </w:r>
      <w:r w:rsidR="00040616">
        <w:rPr>
          <w:sz w:val="24"/>
          <w:szCs w:val="24"/>
        </w:rPr>
        <w:t xml:space="preserve">, </w:t>
      </w:r>
      <w:r w:rsidRPr="007038CD">
        <w:rPr>
          <w:sz w:val="24"/>
          <w:szCs w:val="24"/>
        </w:rPr>
        <w:t xml:space="preserve">pour les accompagner vers une réintégration familiale et socioprofessionnelle. </w:t>
      </w:r>
    </w:p>
    <w:p w14:paraId="297AFB6F" w14:textId="2ABB2DB7" w:rsidR="00A71C1A" w:rsidRPr="007038CD" w:rsidRDefault="00040616" w:rsidP="007038CD">
      <w:pPr>
        <w:jc w:val="both"/>
        <w:rPr>
          <w:color w:val="333333"/>
          <w:sz w:val="20"/>
          <w:szCs w:val="20"/>
        </w:rPr>
      </w:pPr>
      <w:r w:rsidRPr="007038CD">
        <w:rPr>
          <w:sz w:val="24"/>
          <w:szCs w:val="24"/>
        </w:rPr>
        <w:t>Par ailleurs</w:t>
      </w:r>
      <w:r w:rsidR="00B21729" w:rsidRPr="007038CD">
        <w:rPr>
          <w:sz w:val="24"/>
          <w:szCs w:val="24"/>
        </w:rPr>
        <w:t xml:space="preserve">, Ai.Bi. Maroc poursuit des actions de plaidoyer en tant que membre de différents collectifs et réseaux associatifs de promotion et protection des droits des enfants, </w:t>
      </w:r>
      <w:r w:rsidR="00B21729" w:rsidRPr="007038CD">
        <w:rPr>
          <w:sz w:val="24"/>
          <w:szCs w:val="24"/>
        </w:rPr>
        <w:lastRenderedPageBreak/>
        <w:t>notamment : le Collectif Kafala Maroc (depuis 2011), le Collectif pour le Droit de l’Enfant à une Protection Familiale (depuis 2013) et la Plateforme CDE – Convention des Droits de l’Enfant - Maroc (dont elle détient officiellement le Secrétariat et ce dès son lancement officiel en Octobre 2017). Ces collectifs ont l’objectif commun de plaider pour l’amélioration des politiques de protection de l’enfance, notamment la Politique Publique Intégrée de Protection de l’Enfance au Maroc – PPIPEM, dans le respect des principes énoncés dans la Convention des Droits de l’Enfant (CDE).</w:t>
      </w:r>
    </w:p>
    <w:p w14:paraId="6E0CA2EB" w14:textId="77777777" w:rsidR="00A71C1A" w:rsidRDefault="00B21729">
      <w:pPr>
        <w:jc w:val="both"/>
        <w:rPr>
          <w:b/>
          <w:sz w:val="24"/>
          <w:szCs w:val="24"/>
          <w:u w:val="single"/>
        </w:rPr>
      </w:pPr>
      <w:r>
        <w:rPr>
          <w:b/>
          <w:sz w:val="24"/>
          <w:szCs w:val="24"/>
          <w:u w:val="single"/>
        </w:rPr>
        <w:t>Contexte</w:t>
      </w:r>
    </w:p>
    <w:p w14:paraId="75D30A27" w14:textId="40946E25" w:rsidR="00A71C1A" w:rsidRDefault="00B21729">
      <w:pPr>
        <w:jc w:val="both"/>
        <w:rPr>
          <w:sz w:val="24"/>
          <w:szCs w:val="24"/>
        </w:rPr>
      </w:pPr>
      <w:r>
        <w:rPr>
          <w:sz w:val="24"/>
          <w:szCs w:val="24"/>
        </w:rPr>
        <w:t xml:space="preserve">L’Etat marocain a réalisé des progrès importants dans le domaine de la protection de l'enfant depuis la signature et la ratification de la Convention Internationale relative aux Droits de l'Enfant et ses Protocoles facultatifs. Dans ce sens, le Royaume a mené des réformes audacieuses et a entamé le processus d’harmonisation de sa législation nationale avec les lois internationales. Pour être au niveau de ses obligations devant la communauté internationale, le Maroc n'a pas tardé à élaborer des stratégies et une politique publique conjointement avec les OSC (la PPIPEM – Politique Publique Intégrée de Protection de l’Enfance au Maroc) ainsi qu’à assurer la participation significative des enfants. </w:t>
      </w:r>
    </w:p>
    <w:p w14:paraId="3C3972E1" w14:textId="69D5962D" w:rsidR="00A71C1A" w:rsidRDefault="00B21729">
      <w:pPr>
        <w:jc w:val="both"/>
        <w:rPr>
          <w:sz w:val="24"/>
          <w:szCs w:val="24"/>
        </w:rPr>
      </w:pPr>
      <w:r>
        <w:rPr>
          <w:sz w:val="24"/>
          <w:szCs w:val="24"/>
        </w:rPr>
        <w:t>Toutefois, le phénomène de l’abandon des enfants reste aujourd’hui encore très répandu. Selon les données</w:t>
      </w:r>
      <w:r w:rsidR="00D22E2F">
        <w:rPr>
          <w:sz w:val="24"/>
          <w:szCs w:val="24"/>
        </w:rPr>
        <w:t xml:space="preserve"> les</w:t>
      </w:r>
      <w:r>
        <w:rPr>
          <w:sz w:val="24"/>
          <w:szCs w:val="24"/>
        </w:rPr>
        <w:t xml:space="preserve"> plus récentes collectées par l’UNICEF Maroc, on estime encore 100.000 enfants et jeunes abandonnés sur le territoire national et vivant dans des institut</w:t>
      </w:r>
      <w:r w:rsidR="00D22E2F">
        <w:rPr>
          <w:sz w:val="24"/>
          <w:szCs w:val="24"/>
        </w:rPr>
        <w:t>ion</w:t>
      </w:r>
      <w:r>
        <w:rPr>
          <w:sz w:val="24"/>
          <w:szCs w:val="24"/>
        </w:rPr>
        <w:t xml:space="preserve">s qui ne garantissent pas une prise en charge adéquate et intégrée selon les standards internationaux. Si d’une part, il est nécessaire de déployer des efforts pour assurer </w:t>
      </w:r>
      <w:r w:rsidR="00D22E2F">
        <w:rPr>
          <w:sz w:val="24"/>
          <w:szCs w:val="24"/>
        </w:rPr>
        <w:t>d</w:t>
      </w:r>
      <w:r>
        <w:rPr>
          <w:sz w:val="24"/>
          <w:szCs w:val="24"/>
        </w:rPr>
        <w:t>es meilleures conditions de vie aux enfants en situation d’abandon et pour les rendre autonomes afin d’intégrer à nouveau le milieu social, d’autre part, il est autrement important d’agir afin de limiter la production de ce phénomène.</w:t>
      </w:r>
    </w:p>
    <w:p w14:paraId="02F8ED32" w14:textId="41EF2E3D" w:rsidR="00A71C1A" w:rsidRDefault="00B21729" w:rsidP="007038CD">
      <w:pPr>
        <w:jc w:val="both"/>
        <w:rPr>
          <w:sz w:val="24"/>
          <w:szCs w:val="24"/>
        </w:rPr>
      </w:pPr>
      <w:r>
        <w:rPr>
          <w:sz w:val="24"/>
          <w:szCs w:val="24"/>
        </w:rPr>
        <w:t>Pour cela, au-delà de son ampleur, il est fondamental de comprendre les causes derrière l’abandon. On y trouve des communautés vulnérables</w:t>
      </w:r>
      <w:r w:rsidR="00D22E2F">
        <w:rPr>
          <w:sz w:val="24"/>
          <w:szCs w:val="24"/>
        </w:rPr>
        <w:t>,</w:t>
      </w:r>
      <w:r>
        <w:rPr>
          <w:sz w:val="24"/>
          <w:szCs w:val="24"/>
        </w:rPr>
        <w:t xml:space="preserve"> en situation de précarité, n’ayant pas les moyens pour subvenir aux besoins primaires de ces enfants. D’autre part, elles sont à considérer les causes derrière les grossesses non désirées, telle que l’insuffisante éducation en santé sexuelle et reproductive, des fausses promesses de mariage, ou encore des violences sexuelles. Pendant la grossesse et suite à l’accouchement, les mères célibataires deviennent victimes de stigmatisation et exclusion sociale vécues à plusieurs niveaux : au sein de la famille, un accès aux services de protection et accompagnement limité, </w:t>
      </w:r>
      <w:r w:rsidR="00D22E2F">
        <w:rPr>
          <w:sz w:val="24"/>
          <w:szCs w:val="24"/>
        </w:rPr>
        <w:t xml:space="preserve">tout </w:t>
      </w:r>
      <w:r>
        <w:rPr>
          <w:sz w:val="24"/>
          <w:szCs w:val="24"/>
        </w:rPr>
        <w:t>comme dans la vie quotidienne</w:t>
      </w:r>
      <w:r w:rsidR="00D22E2F">
        <w:rPr>
          <w:sz w:val="24"/>
          <w:szCs w:val="24"/>
        </w:rPr>
        <w:t>,</w:t>
      </w:r>
      <w:r>
        <w:rPr>
          <w:sz w:val="24"/>
          <w:szCs w:val="24"/>
        </w:rPr>
        <w:t xml:space="preserve"> en subissant les conséquences de valeurs et principes ancrés dans la société. En conséquence de ça, et n’ayant souvent pas accès au moyens économique suffisants pour subvenir aux besoin de son enfant, la mère célibataire voit dans l’abandon la seule solution possible pour garantir un futur meilleur à son enfant et la possibilité de regagner une place dans la société. </w:t>
      </w:r>
    </w:p>
    <w:p w14:paraId="22B04745" w14:textId="0FCDB799" w:rsidR="00A71C1A" w:rsidRDefault="00B21729" w:rsidP="007038CD">
      <w:pPr>
        <w:jc w:val="both"/>
        <w:rPr>
          <w:sz w:val="24"/>
          <w:szCs w:val="24"/>
        </w:rPr>
      </w:pPr>
      <w:r>
        <w:rPr>
          <w:sz w:val="24"/>
          <w:szCs w:val="24"/>
        </w:rPr>
        <w:lastRenderedPageBreak/>
        <w:t>Dans ce contexte bien spécifique, il s’avère nécessaire d’agir afin d’informer et conscientiser le grand public autour de la protection de l’enfance et la prévention de l’abandon</w:t>
      </w:r>
      <w:r w:rsidR="00D22E2F">
        <w:rPr>
          <w:sz w:val="24"/>
          <w:szCs w:val="24"/>
        </w:rPr>
        <w:t>, tout</w:t>
      </w:r>
      <w:r>
        <w:rPr>
          <w:sz w:val="24"/>
          <w:szCs w:val="24"/>
        </w:rPr>
        <w:t xml:space="preserve"> comme </w:t>
      </w:r>
      <w:r w:rsidR="00D22E2F">
        <w:rPr>
          <w:sz w:val="24"/>
          <w:szCs w:val="24"/>
        </w:rPr>
        <w:t xml:space="preserve">autour </w:t>
      </w:r>
      <w:r>
        <w:rPr>
          <w:sz w:val="24"/>
          <w:szCs w:val="24"/>
        </w:rPr>
        <w:t>de la vulnérabilité des mères célibataires, pour pouvoir espérer un changement d’attitude et comportement et en même temps de diffuser des informations utiles à ces deux cibles pour pouvoir bénéficier de services de prise en charge et/ou de réinsertion dans la société</w:t>
      </w:r>
      <w:r w:rsidR="00D22E2F">
        <w:rPr>
          <w:sz w:val="24"/>
          <w:szCs w:val="24"/>
        </w:rPr>
        <w:t>.</w:t>
      </w:r>
    </w:p>
    <w:p w14:paraId="5FAAED12" w14:textId="08D8A46A" w:rsidR="00A71C1A" w:rsidRDefault="00B21729" w:rsidP="007038CD">
      <w:pPr>
        <w:jc w:val="both"/>
        <w:rPr>
          <w:sz w:val="24"/>
          <w:szCs w:val="24"/>
        </w:rPr>
      </w:pPr>
      <w:r>
        <w:rPr>
          <w:sz w:val="24"/>
          <w:szCs w:val="24"/>
        </w:rPr>
        <w:t xml:space="preserve">Pour les raisons citées dans les paragraphes précédents, </w:t>
      </w:r>
      <w:r w:rsidR="00D22E2F">
        <w:rPr>
          <w:sz w:val="24"/>
          <w:szCs w:val="24"/>
        </w:rPr>
        <w:t xml:space="preserve">l’association Amis des Enfants – Ai.Bi. Maroc </w:t>
      </w:r>
      <w:r>
        <w:rPr>
          <w:sz w:val="24"/>
          <w:szCs w:val="24"/>
        </w:rPr>
        <w:t xml:space="preserve">et ses partenaires </w:t>
      </w:r>
      <w:r w:rsidR="00D22E2F">
        <w:rPr>
          <w:sz w:val="24"/>
          <w:szCs w:val="24"/>
        </w:rPr>
        <w:t xml:space="preserve">ont mis en œuvre le </w:t>
      </w:r>
      <w:r>
        <w:rPr>
          <w:sz w:val="24"/>
          <w:szCs w:val="24"/>
        </w:rPr>
        <w:t xml:space="preserve">projet </w:t>
      </w:r>
      <w:r w:rsidR="00D22E2F">
        <w:rPr>
          <w:sz w:val="24"/>
          <w:szCs w:val="24"/>
        </w:rPr>
        <w:t>« Ensemble pour l’Enfance : Koulouna min ajl atoufoula »</w:t>
      </w:r>
      <w:r w:rsidR="00E60861">
        <w:rPr>
          <w:sz w:val="24"/>
          <w:szCs w:val="24"/>
        </w:rPr>
        <w:t>, dans la période février 2021 – avril 2023</w:t>
      </w:r>
      <w:r>
        <w:rPr>
          <w:sz w:val="24"/>
          <w:szCs w:val="24"/>
        </w:rPr>
        <w:t>.</w:t>
      </w:r>
    </w:p>
    <w:p w14:paraId="3B55B590" w14:textId="77777777" w:rsidR="00A71C1A" w:rsidRDefault="00B21729">
      <w:pPr>
        <w:jc w:val="both"/>
        <w:rPr>
          <w:sz w:val="24"/>
          <w:szCs w:val="24"/>
        </w:rPr>
      </w:pPr>
      <w:r>
        <w:rPr>
          <w:b/>
          <w:sz w:val="24"/>
          <w:szCs w:val="24"/>
          <w:u w:val="single"/>
        </w:rPr>
        <w:t>Projet : Ensemble Pour l’Enfance « Koulouna min ajl atoufoula »</w:t>
      </w:r>
      <w:r>
        <w:rPr>
          <w:sz w:val="24"/>
          <w:szCs w:val="24"/>
        </w:rPr>
        <w:t xml:space="preserve"> </w:t>
      </w:r>
    </w:p>
    <w:p w14:paraId="62232FF9" w14:textId="195260FB" w:rsidR="00A71C1A" w:rsidRDefault="00B21729">
      <w:pPr>
        <w:jc w:val="both"/>
        <w:rPr>
          <w:sz w:val="24"/>
          <w:szCs w:val="24"/>
        </w:rPr>
      </w:pPr>
      <w:r>
        <w:rPr>
          <w:sz w:val="24"/>
          <w:szCs w:val="24"/>
        </w:rPr>
        <w:t xml:space="preserve">Le projet a l’objectif général de contribuer à une meilleure protection et assistance des enfants abandonnés et à risque d'abandon au Maroc. Ce projet vise plus spécifiquement à soutenir </w:t>
      </w:r>
      <w:r w:rsidR="00F20407">
        <w:rPr>
          <w:sz w:val="24"/>
          <w:szCs w:val="24"/>
        </w:rPr>
        <w:t>les services</w:t>
      </w:r>
      <w:r>
        <w:rPr>
          <w:sz w:val="24"/>
          <w:szCs w:val="24"/>
        </w:rPr>
        <w:t xml:space="preserve"> des EPS et des services sociaux publics dédiés à la protection des enfants abandonnés et à la  prévention de l’abandon des enfants dans les régions Fès - Meknès et de l’Orientale, et de consolider les capacités des OSC dans ces régions du Maroc afin de les impliquer ultérieurement dans la protection de  l’enfance et la prévention de l’abandon avec un focus sur les OSC gestionnaires des EPS. Finalement Koulouna min ajli atoufoula a pour objectif de promouvoir la coordination entre acteurs étatiques et non étatiques engagés dans la protection de l’enfance et la prévention de l’abandon dans les régions Fès - Meknès et de l’Orientale, et de renforcer le plaidoyer national et international sur la protection des enfants abandonnées et la prévention de l’abandon au Maroc. </w:t>
      </w:r>
    </w:p>
    <w:p w14:paraId="7AF45B6A" w14:textId="77777777" w:rsidR="00A71C1A" w:rsidRDefault="00B21729">
      <w:pPr>
        <w:shd w:val="clear" w:color="auto" w:fill="FFFFFF"/>
        <w:spacing w:before="183" w:after="92" w:line="240" w:lineRule="auto"/>
        <w:jc w:val="both"/>
        <w:rPr>
          <w:sz w:val="24"/>
          <w:szCs w:val="24"/>
        </w:rPr>
      </w:pPr>
      <w:r>
        <w:rPr>
          <w:sz w:val="24"/>
          <w:szCs w:val="24"/>
        </w:rPr>
        <w:t>Cette action est menée par Ai.Bi. Maroc avec la collaboration de ses partenaires l’association Pionniers du Changement du Développement et la Culture à Oujda, Fondation Rita Zniber à Meknès, grâce au cofinancement de l’Union Européenne.</w:t>
      </w:r>
    </w:p>
    <w:p w14:paraId="0B63EA4C" w14:textId="77777777" w:rsidR="00A71C1A" w:rsidRDefault="00A71C1A">
      <w:pPr>
        <w:shd w:val="clear" w:color="auto" w:fill="FFFFFF"/>
        <w:spacing w:before="183" w:after="92" w:line="240" w:lineRule="auto"/>
        <w:jc w:val="both"/>
        <w:rPr>
          <w:color w:val="000000"/>
          <w:sz w:val="24"/>
          <w:szCs w:val="24"/>
        </w:rPr>
      </w:pPr>
    </w:p>
    <w:p w14:paraId="13201198" w14:textId="77777777" w:rsidR="00A71C1A" w:rsidRDefault="00B21729">
      <w:pPr>
        <w:ind w:left="360" w:hanging="360"/>
        <w:jc w:val="both"/>
        <w:rPr>
          <w:b/>
          <w:sz w:val="24"/>
          <w:szCs w:val="24"/>
          <w:u w:val="single"/>
        </w:rPr>
      </w:pPr>
      <w:r>
        <w:rPr>
          <w:b/>
          <w:sz w:val="24"/>
          <w:szCs w:val="24"/>
          <w:u w:val="single"/>
        </w:rPr>
        <w:t>Objectifs de la consultation :</w:t>
      </w:r>
    </w:p>
    <w:p w14:paraId="1E762015" w14:textId="0231750E" w:rsidR="00A71C1A" w:rsidRPr="007038CD" w:rsidRDefault="00B21729" w:rsidP="007038CD">
      <w:pPr>
        <w:jc w:val="both"/>
        <w:rPr>
          <w:sz w:val="24"/>
          <w:szCs w:val="24"/>
          <w:highlight w:val="white"/>
        </w:rPr>
      </w:pPr>
      <w:r>
        <w:rPr>
          <w:sz w:val="24"/>
          <w:szCs w:val="24"/>
          <w:highlight w:val="white"/>
        </w:rPr>
        <w:t xml:space="preserve">L’objectif de la présente consultation est d’assurer la </w:t>
      </w:r>
      <w:r w:rsidR="00E60861">
        <w:rPr>
          <w:sz w:val="24"/>
          <w:szCs w:val="24"/>
          <w:highlight w:val="white"/>
        </w:rPr>
        <w:t xml:space="preserve">réalisation d’une </w:t>
      </w:r>
      <w:r w:rsidR="00E60861" w:rsidRPr="007038CD">
        <w:rPr>
          <w:sz w:val="24"/>
          <w:szCs w:val="24"/>
          <w:highlight w:val="white"/>
        </w:rPr>
        <w:t xml:space="preserve">évaluation </w:t>
      </w:r>
      <w:r w:rsidR="008253B7">
        <w:rPr>
          <w:sz w:val="24"/>
          <w:szCs w:val="24"/>
          <w:highlight w:val="white"/>
        </w:rPr>
        <w:t>finale</w:t>
      </w:r>
      <w:r w:rsidR="00E60861">
        <w:rPr>
          <w:sz w:val="24"/>
          <w:szCs w:val="24"/>
          <w:highlight w:val="white"/>
        </w:rPr>
        <w:t>, afin d’</w:t>
      </w:r>
      <w:r w:rsidR="00E60861" w:rsidRPr="007038CD">
        <w:rPr>
          <w:sz w:val="24"/>
          <w:szCs w:val="24"/>
          <w:highlight w:val="white"/>
        </w:rPr>
        <w:t>examiner le degré d’atteinte des objectifs par rapport aux résultats attendus, d’analyser les effets/impacts directs et indirects ainsi que la pérennité et les perspectives des actions</w:t>
      </w:r>
      <w:r w:rsidR="00E60861">
        <w:rPr>
          <w:sz w:val="24"/>
          <w:szCs w:val="24"/>
          <w:highlight w:val="white"/>
        </w:rPr>
        <w:t>,</w:t>
      </w:r>
      <w:r w:rsidR="00E60861" w:rsidRPr="007038CD">
        <w:rPr>
          <w:sz w:val="24"/>
          <w:szCs w:val="24"/>
          <w:highlight w:val="white"/>
        </w:rPr>
        <w:t xml:space="preserve"> de </w:t>
      </w:r>
      <w:r w:rsidR="00671C32" w:rsidRPr="007038CD">
        <w:rPr>
          <w:sz w:val="24"/>
          <w:szCs w:val="24"/>
          <w:highlight w:val="white"/>
        </w:rPr>
        <w:t xml:space="preserve">tirer </w:t>
      </w:r>
      <w:r w:rsidR="00671C32">
        <w:rPr>
          <w:sz w:val="24"/>
          <w:szCs w:val="24"/>
          <w:highlight w:val="white"/>
        </w:rPr>
        <w:t>l</w:t>
      </w:r>
      <w:r w:rsidR="00E60861" w:rsidRPr="007038CD">
        <w:rPr>
          <w:sz w:val="24"/>
          <w:szCs w:val="24"/>
          <w:highlight w:val="white"/>
        </w:rPr>
        <w:t xml:space="preserve">es enseignements </w:t>
      </w:r>
      <w:r w:rsidR="00671C32">
        <w:rPr>
          <w:sz w:val="24"/>
          <w:szCs w:val="24"/>
          <w:highlight w:val="white"/>
        </w:rPr>
        <w:t xml:space="preserve">et les leçons apprises, </w:t>
      </w:r>
      <w:r w:rsidR="00E60861" w:rsidRPr="007038CD">
        <w:rPr>
          <w:sz w:val="24"/>
          <w:szCs w:val="24"/>
          <w:highlight w:val="white"/>
        </w:rPr>
        <w:t xml:space="preserve">et </w:t>
      </w:r>
      <w:r w:rsidR="00671C32">
        <w:rPr>
          <w:sz w:val="24"/>
          <w:szCs w:val="24"/>
          <w:highlight w:val="white"/>
        </w:rPr>
        <w:t>de proposer</w:t>
      </w:r>
      <w:r w:rsidR="00E60861" w:rsidRPr="007038CD">
        <w:rPr>
          <w:sz w:val="24"/>
          <w:szCs w:val="24"/>
          <w:highlight w:val="white"/>
        </w:rPr>
        <w:t xml:space="preserve"> des recommandations </w:t>
      </w:r>
      <w:r w:rsidR="00671C32">
        <w:rPr>
          <w:sz w:val="24"/>
          <w:szCs w:val="24"/>
          <w:highlight w:val="white"/>
        </w:rPr>
        <w:t xml:space="preserve">qui </w:t>
      </w:r>
      <w:r w:rsidR="00E60861" w:rsidRPr="007038CD">
        <w:rPr>
          <w:sz w:val="24"/>
          <w:szCs w:val="24"/>
          <w:highlight w:val="white"/>
        </w:rPr>
        <w:t>pour</w:t>
      </w:r>
      <w:r w:rsidR="00671C32">
        <w:rPr>
          <w:sz w:val="24"/>
          <w:szCs w:val="24"/>
          <w:highlight w:val="white"/>
        </w:rPr>
        <w:t>ront être utiles lors de la mise en place de futurs projets sur la thématique.</w:t>
      </w:r>
      <w:r w:rsidR="00E60861" w:rsidRPr="007038CD">
        <w:rPr>
          <w:sz w:val="24"/>
          <w:szCs w:val="24"/>
          <w:highlight w:val="white"/>
        </w:rPr>
        <w:t xml:space="preserve"> </w:t>
      </w:r>
      <w:r w:rsidR="00671C32">
        <w:rPr>
          <w:sz w:val="24"/>
          <w:szCs w:val="24"/>
          <w:highlight w:val="white"/>
        </w:rPr>
        <w:t xml:space="preserve">L’évaluation visera à fournir aux parties prenantes des éléments d’appréciations de la performance du projet vis-à-vis des critères de « pertinence, cohérence, efficacité, efficience, impact et durabilité ». </w:t>
      </w:r>
    </w:p>
    <w:p w14:paraId="34B994C1" w14:textId="77777777" w:rsidR="00A71C1A" w:rsidRDefault="00B21729">
      <w:pPr>
        <w:jc w:val="both"/>
        <w:rPr>
          <w:b/>
          <w:sz w:val="24"/>
          <w:szCs w:val="24"/>
          <w:u w:val="single"/>
        </w:rPr>
      </w:pPr>
      <w:r>
        <w:rPr>
          <w:b/>
          <w:sz w:val="24"/>
          <w:szCs w:val="24"/>
          <w:u w:val="single"/>
        </w:rPr>
        <w:t xml:space="preserve">Mission du consultant : </w:t>
      </w:r>
    </w:p>
    <w:p w14:paraId="4F0A2E09" w14:textId="26407016" w:rsidR="008253B7" w:rsidRPr="007038CD" w:rsidRDefault="008253B7" w:rsidP="007038CD">
      <w:pPr>
        <w:shd w:val="clear" w:color="auto" w:fill="FFFFFF"/>
        <w:spacing w:before="183" w:after="92" w:line="240" w:lineRule="auto"/>
        <w:jc w:val="both"/>
        <w:rPr>
          <w:sz w:val="24"/>
          <w:szCs w:val="24"/>
        </w:rPr>
      </w:pPr>
      <w:r w:rsidRPr="007038CD">
        <w:rPr>
          <w:sz w:val="24"/>
          <w:szCs w:val="24"/>
        </w:rPr>
        <w:t xml:space="preserve">Cette évaluation finale prendra en compte toutes les actions programmées dans le document </w:t>
      </w:r>
      <w:r>
        <w:rPr>
          <w:sz w:val="24"/>
          <w:szCs w:val="24"/>
        </w:rPr>
        <w:t xml:space="preserve">du </w:t>
      </w:r>
      <w:r w:rsidRPr="007038CD">
        <w:rPr>
          <w:sz w:val="24"/>
          <w:szCs w:val="24"/>
        </w:rPr>
        <w:t>projet</w:t>
      </w:r>
      <w:r>
        <w:rPr>
          <w:sz w:val="24"/>
          <w:szCs w:val="24"/>
        </w:rPr>
        <w:t xml:space="preserve"> et son Avenant</w:t>
      </w:r>
      <w:r w:rsidRPr="007038CD">
        <w:rPr>
          <w:sz w:val="24"/>
          <w:szCs w:val="24"/>
        </w:rPr>
        <w:t xml:space="preserve">. Elle vise à réaliser un bilan des activités conduites au regard des </w:t>
      </w:r>
      <w:r w:rsidRPr="007038CD">
        <w:rPr>
          <w:sz w:val="24"/>
          <w:szCs w:val="24"/>
        </w:rPr>
        <w:lastRenderedPageBreak/>
        <w:t>objectifs et résultats attendus tout en mettant l’accent sur les processus et méthodologies mis en place. Il s’agira aussi de dégager les éléments d’apprentissage à considérer pour des initiatives similaires futures. Les recommandations devront prendre en compte les pistes d’actions futures à explore</w:t>
      </w:r>
      <w:r w:rsidR="00671C32" w:rsidRPr="007038CD">
        <w:rPr>
          <w:sz w:val="24"/>
          <w:szCs w:val="24"/>
        </w:rPr>
        <w:t>r au profit des acteurs et de</w:t>
      </w:r>
      <w:r w:rsidR="00671C32">
        <w:rPr>
          <w:sz w:val="24"/>
          <w:szCs w:val="24"/>
        </w:rPr>
        <w:t>s</w:t>
      </w:r>
      <w:r w:rsidRPr="007038CD">
        <w:rPr>
          <w:sz w:val="24"/>
          <w:szCs w:val="24"/>
        </w:rPr>
        <w:t xml:space="preserve"> zone</w:t>
      </w:r>
      <w:r w:rsidR="00671C32">
        <w:rPr>
          <w:sz w:val="24"/>
          <w:szCs w:val="24"/>
        </w:rPr>
        <w:t>s</w:t>
      </w:r>
      <w:r w:rsidRPr="007038CD">
        <w:rPr>
          <w:sz w:val="24"/>
          <w:szCs w:val="24"/>
        </w:rPr>
        <w:t xml:space="preserve"> du projet. </w:t>
      </w:r>
    </w:p>
    <w:p w14:paraId="549501FC" w14:textId="310A138F" w:rsidR="008253B7" w:rsidRPr="007038CD" w:rsidRDefault="00671C32" w:rsidP="007038CD">
      <w:pPr>
        <w:shd w:val="clear" w:color="auto" w:fill="FFFFFF"/>
        <w:spacing w:before="183" w:after="92" w:line="240" w:lineRule="auto"/>
        <w:jc w:val="both"/>
        <w:rPr>
          <w:sz w:val="24"/>
          <w:szCs w:val="24"/>
        </w:rPr>
      </w:pPr>
      <w:r>
        <w:rPr>
          <w:sz w:val="24"/>
          <w:szCs w:val="24"/>
        </w:rPr>
        <w:t>Plus spécifiquement, l’évaluation finale poursuivra les objectifs suivants</w:t>
      </w:r>
      <w:r w:rsidR="008253B7" w:rsidRPr="007038CD">
        <w:rPr>
          <w:sz w:val="24"/>
          <w:szCs w:val="24"/>
        </w:rPr>
        <w:t xml:space="preserve"> : </w:t>
      </w:r>
    </w:p>
    <w:p w14:paraId="6A9D15E9" w14:textId="733C66A3" w:rsidR="00671C32" w:rsidRDefault="00671C32" w:rsidP="007038CD">
      <w:pPr>
        <w:pStyle w:val="Paragraphedeliste"/>
        <w:numPr>
          <w:ilvl w:val="0"/>
          <w:numId w:val="5"/>
        </w:numPr>
        <w:shd w:val="clear" w:color="auto" w:fill="FFFFFF"/>
        <w:spacing w:before="183" w:after="92" w:line="240" w:lineRule="auto"/>
        <w:rPr>
          <w:rFonts w:asciiTheme="minorHAnsi" w:hAnsiTheme="minorHAnsi" w:cstheme="minorHAnsi"/>
        </w:rPr>
      </w:pPr>
      <w:r>
        <w:rPr>
          <w:rFonts w:asciiTheme="minorHAnsi" w:hAnsiTheme="minorHAnsi" w:cstheme="minorHAnsi"/>
        </w:rPr>
        <w:t>Evaluer le degré de réalisation des activités et les résultats atteints, tels que programmés dans le cadre logique du projet ;</w:t>
      </w:r>
    </w:p>
    <w:p w14:paraId="6F3A6144" w14:textId="54602F1C" w:rsidR="00671C32" w:rsidRDefault="00671C32" w:rsidP="007038CD">
      <w:pPr>
        <w:pStyle w:val="Paragraphedeliste"/>
        <w:numPr>
          <w:ilvl w:val="0"/>
          <w:numId w:val="5"/>
        </w:numPr>
        <w:shd w:val="clear" w:color="auto" w:fill="FFFFFF"/>
        <w:spacing w:before="183" w:after="92" w:line="240" w:lineRule="auto"/>
        <w:rPr>
          <w:rFonts w:asciiTheme="minorHAnsi" w:hAnsiTheme="minorHAnsi" w:cstheme="minorHAnsi"/>
        </w:rPr>
      </w:pPr>
      <w:r>
        <w:rPr>
          <w:rFonts w:asciiTheme="minorHAnsi" w:hAnsiTheme="minorHAnsi" w:cstheme="minorHAnsi"/>
        </w:rPr>
        <w:t xml:space="preserve">Evaluer la </w:t>
      </w:r>
      <w:r w:rsidRPr="007038CD">
        <w:rPr>
          <w:rFonts w:asciiTheme="minorHAnsi" w:hAnsiTheme="minorHAnsi" w:cstheme="minorHAnsi"/>
        </w:rPr>
        <w:t>pertinence,</w:t>
      </w:r>
      <w:r>
        <w:rPr>
          <w:rFonts w:asciiTheme="minorHAnsi" w:hAnsiTheme="minorHAnsi" w:cstheme="minorHAnsi"/>
        </w:rPr>
        <w:t xml:space="preserve"> la</w:t>
      </w:r>
      <w:r w:rsidRPr="007038CD">
        <w:rPr>
          <w:rFonts w:asciiTheme="minorHAnsi" w:hAnsiTheme="minorHAnsi" w:cstheme="minorHAnsi"/>
        </w:rPr>
        <w:t xml:space="preserve"> cohérence, </w:t>
      </w:r>
      <w:r>
        <w:rPr>
          <w:rFonts w:asciiTheme="minorHAnsi" w:hAnsiTheme="minorHAnsi" w:cstheme="minorHAnsi"/>
        </w:rPr>
        <w:t>l’</w:t>
      </w:r>
      <w:r w:rsidRPr="007038CD">
        <w:rPr>
          <w:rFonts w:asciiTheme="minorHAnsi" w:hAnsiTheme="minorHAnsi" w:cstheme="minorHAnsi"/>
        </w:rPr>
        <w:t xml:space="preserve">efficacité, </w:t>
      </w:r>
      <w:r>
        <w:rPr>
          <w:rFonts w:asciiTheme="minorHAnsi" w:hAnsiTheme="minorHAnsi" w:cstheme="minorHAnsi"/>
        </w:rPr>
        <w:t>l’</w:t>
      </w:r>
      <w:r w:rsidRPr="007038CD">
        <w:rPr>
          <w:rFonts w:asciiTheme="minorHAnsi" w:hAnsiTheme="minorHAnsi" w:cstheme="minorHAnsi"/>
        </w:rPr>
        <w:t xml:space="preserve">efficience, </w:t>
      </w:r>
      <w:r>
        <w:rPr>
          <w:rFonts w:asciiTheme="minorHAnsi" w:hAnsiTheme="minorHAnsi" w:cstheme="minorHAnsi"/>
        </w:rPr>
        <w:t>l’</w:t>
      </w:r>
      <w:r w:rsidRPr="007038CD">
        <w:rPr>
          <w:rFonts w:asciiTheme="minorHAnsi" w:hAnsiTheme="minorHAnsi" w:cstheme="minorHAnsi"/>
        </w:rPr>
        <w:t>impact et</w:t>
      </w:r>
      <w:r>
        <w:rPr>
          <w:rFonts w:asciiTheme="minorHAnsi" w:hAnsiTheme="minorHAnsi" w:cstheme="minorHAnsi"/>
        </w:rPr>
        <w:t xml:space="preserve"> la</w:t>
      </w:r>
      <w:r w:rsidRPr="007038CD">
        <w:rPr>
          <w:rFonts w:asciiTheme="minorHAnsi" w:hAnsiTheme="minorHAnsi" w:cstheme="minorHAnsi"/>
        </w:rPr>
        <w:t xml:space="preserve"> durabilité</w:t>
      </w:r>
      <w:r>
        <w:rPr>
          <w:rFonts w:asciiTheme="minorHAnsi" w:hAnsiTheme="minorHAnsi" w:cstheme="minorHAnsi"/>
        </w:rPr>
        <w:t xml:space="preserve"> du projet, tout en considérant la méthodologie d’intervention et la mobilisation des ressources humaines et financières ;</w:t>
      </w:r>
    </w:p>
    <w:p w14:paraId="08FC3AAA" w14:textId="4ED49FAD" w:rsidR="00671C32" w:rsidRDefault="00671C32" w:rsidP="007038CD">
      <w:pPr>
        <w:pStyle w:val="Paragraphedeliste"/>
        <w:numPr>
          <w:ilvl w:val="0"/>
          <w:numId w:val="5"/>
        </w:numPr>
        <w:shd w:val="clear" w:color="auto" w:fill="FFFFFF"/>
        <w:spacing w:before="183" w:after="92" w:line="240" w:lineRule="auto"/>
        <w:rPr>
          <w:rFonts w:asciiTheme="minorHAnsi" w:hAnsiTheme="minorHAnsi" w:cstheme="minorHAnsi"/>
        </w:rPr>
      </w:pPr>
      <w:r>
        <w:rPr>
          <w:rFonts w:asciiTheme="minorHAnsi" w:hAnsiTheme="minorHAnsi" w:cstheme="minorHAnsi"/>
        </w:rPr>
        <w:t>Analyser les changements survenus grâce au projet et identifier les effets induits et les impacts résultant des différents axes du projet </w:t>
      </w:r>
      <w:r w:rsidR="00F92488">
        <w:rPr>
          <w:rFonts w:asciiTheme="minorHAnsi" w:hAnsiTheme="minorHAnsi" w:cstheme="minorHAnsi"/>
        </w:rPr>
        <w:t xml:space="preserve">sur les bénéficiaires et sur les partenaires de mise en œuvre. </w:t>
      </w:r>
    </w:p>
    <w:p w14:paraId="275E77FE" w14:textId="318FF4C5" w:rsidR="00671C32" w:rsidRPr="007038CD" w:rsidRDefault="00F92488" w:rsidP="007038CD">
      <w:pPr>
        <w:pStyle w:val="Paragraphedeliste"/>
        <w:numPr>
          <w:ilvl w:val="0"/>
          <w:numId w:val="5"/>
        </w:numPr>
        <w:shd w:val="clear" w:color="auto" w:fill="FFFFFF"/>
        <w:spacing w:before="183" w:after="92" w:line="240" w:lineRule="auto"/>
        <w:rPr>
          <w:rFonts w:asciiTheme="minorHAnsi" w:hAnsiTheme="minorHAnsi" w:cstheme="minorHAnsi"/>
        </w:rPr>
      </w:pPr>
      <w:r>
        <w:rPr>
          <w:rFonts w:asciiTheme="minorHAnsi" w:hAnsiTheme="minorHAnsi" w:cstheme="minorHAnsi"/>
        </w:rPr>
        <w:t>Formuler des recommandations pour une suite de projet ou une action similaire.</w:t>
      </w:r>
    </w:p>
    <w:p w14:paraId="6A498012" w14:textId="77777777" w:rsidR="004742F5" w:rsidRPr="007038CD" w:rsidRDefault="004742F5" w:rsidP="007038CD">
      <w:pPr>
        <w:pStyle w:val="Paragraphedeliste"/>
        <w:numPr>
          <w:ilvl w:val="0"/>
          <w:numId w:val="0"/>
        </w:numPr>
        <w:shd w:val="clear" w:color="auto" w:fill="FFFFFF"/>
        <w:spacing w:before="183" w:after="92" w:line="240" w:lineRule="auto"/>
        <w:ind w:left="720"/>
        <w:rPr>
          <w:rFonts w:asciiTheme="minorHAnsi" w:hAnsiTheme="minorHAnsi" w:cstheme="minorHAnsi"/>
        </w:rPr>
      </w:pPr>
    </w:p>
    <w:p w14:paraId="79860F76" w14:textId="77777777" w:rsidR="008253B7" w:rsidRPr="007038CD" w:rsidRDefault="008253B7" w:rsidP="008253B7">
      <w:pPr>
        <w:autoSpaceDE w:val="0"/>
        <w:autoSpaceDN w:val="0"/>
        <w:adjustRightInd w:val="0"/>
        <w:spacing w:after="0" w:line="240" w:lineRule="auto"/>
        <w:rPr>
          <w:sz w:val="24"/>
          <w:szCs w:val="24"/>
        </w:rPr>
      </w:pPr>
      <w:r w:rsidRPr="007038CD">
        <w:rPr>
          <w:sz w:val="24"/>
          <w:szCs w:val="24"/>
        </w:rPr>
        <w:t>Le consultant devra conduire l’analyse évaluative en deux temps.</w:t>
      </w:r>
    </w:p>
    <w:p w14:paraId="270C218C" w14:textId="7948F894" w:rsidR="008253B7" w:rsidRPr="007038CD" w:rsidRDefault="008253B7" w:rsidP="007038CD">
      <w:pPr>
        <w:pStyle w:val="Paragraphedeliste"/>
        <w:numPr>
          <w:ilvl w:val="0"/>
          <w:numId w:val="5"/>
        </w:numPr>
        <w:shd w:val="clear" w:color="auto" w:fill="FFFFFF"/>
        <w:spacing w:before="183" w:after="92" w:line="240" w:lineRule="auto"/>
        <w:rPr>
          <w:rFonts w:asciiTheme="minorHAnsi" w:hAnsiTheme="minorHAnsi" w:cstheme="minorHAnsi"/>
        </w:rPr>
      </w:pPr>
      <w:r w:rsidRPr="007038CD">
        <w:rPr>
          <w:rFonts w:asciiTheme="minorHAnsi" w:hAnsiTheme="minorHAnsi" w:cstheme="minorHAnsi"/>
        </w:rPr>
        <w:t xml:space="preserve">Etablir un récit détaillé et analytique du projet évalué </w:t>
      </w:r>
    </w:p>
    <w:p w14:paraId="3503B1C6" w14:textId="1A608577" w:rsidR="008253B7" w:rsidRPr="007038CD" w:rsidRDefault="00F92488" w:rsidP="007038CD">
      <w:pPr>
        <w:pStyle w:val="Paragraphedeliste"/>
        <w:numPr>
          <w:ilvl w:val="0"/>
          <w:numId w:val="5"/>
        </w:numPr>
        <w:shd w:val="clear" w:color="auto" w:fill="FFFFFF"/>
        <w:spacing w:before="183" w:after="92" w:line="240" w:lineRule="auto"/>
        <w:rPr>
          <w:rFonts w:asciiTheme="minorHAnsi" w:hAnsiTheme="minorHAnsi" w:cstheme="minorHAnsi"/>
        </w:rPr>
      </w:pPr>
      <w:r w:rsidRPr="003069D5">
        <w:rPr>
          <w:rFonts w:asciiTheme="minorHAnsi" w:hAnsiTheme="minorHAnsi" w:cstheme="minorHAnsi"/>
        </w:rPr>
        <w:t xml:space="preserve">Apprécier qualitativement et quantitativement la mise en œuvre des activités au regard des objectifs globaux, des objectifs spécifiques et des résultats attendus du projet et évaluer l’adéquation des moyennes mises en œuvre. </w:t>
      </w:r>
    </w:p>
    <w:p w14:paraId="18C9C92D" w14:textId="307A05A7" w:rsidR="00A71C1A" w:rsidRDefault="00B21729">
      <w:pPr>
        <w:spacing w:line="320" w:lineRule="auto"/>
        <w:jc w:val="both"/>
        <w:rPr>
          <w:rFonts w:ascii="Garamond" w:eastAsia="Garamond" w:hAnsi="Garamond" w:cs="Garamond"/>
          <w:color w:val="000000"/>
          <w:sz w:val="24"/>
          <w:szCs w:val="24"/>
        </w:rPr>
      </w:pPr>
      <w:r>
        <w:rPr>
          <w:b/>
          <w:sz w:val="24"/>
          <w:szCs w:val="24"/>
        </w:rPr>
        <w:t>Livrables </w:t>
      </w:r>
      <w:r w:rsidR="00F92488">
        <w:rPr>
          <w:b/>
          <w:sz w:val="24"/>
          <w:szCs w:val="24"/>
        </w:rPr>
        <w:t xml:space="preserve">attendus </w:t>
      </w:r>
      <w:r>
        <w:rPr>
          <w:b/>
          <w:sz w:val="24"/>
          <w:szCs w:val="24"/>
        </w:rPr>
        <w:t>:</w:t>
      </w:r>
    </w:p>
    <w:p w14:paraId="10377D45" w14:textId="7CD3C44E" w:rsidR="00A71C1A" w:rsidRPr="007038CD" w:rsidRDefault="00B21729" w:rsidP="007038CD">
      <w:pPr>
        <w:pStyle w:val="Paragraphedeliste"/>
        <w:numPr>
          <w:ilvl w:val="0"/>
          <w:numId w:val="5"/>
        </w:numPr>
        <w:shd w:val="clear" w:color="auto" w:fill="FFFFFF"/>
        <w:spacing w:before="183" w:after="92" w:line="240" w:lineRule="auto"/>
        <w:rPr>
          <w:rFonts w:asciiTheme="minorHAnsi" w:hAnsiTheme="minorHAnsi" w:cstheme="minorHAnsi"/>
        </w:rPr>
      </w:pPr>
      <w:r w:rsidRPr="007038CD">
        <w:rPr>
          <w:rFonts w:asciiTheme="minorHAnsi" w:hAnsiTheme="minorHAnsi" w:cstheme="minorHAnsi"/>
        </w:rPr>
        <w:t>Une note méthodologique</w:t>
      </w:r>
      <w:r w:rsidR="005577E3" w:rsidRPr="007038CD">
        <w:rPr>
          <w:rFonts w:asciiTheme="minorHAnsi" w:hAnsiTheme="minorHAnsi" w:cstheme="minorHAnsi"/>
        </w:rPr>
        <w:t>,</w:t>
      </w:r>
      <w:r w:rsidRPr="007038CD">
        <w:rPr>
          <w:rFonts w:asciiTheme="minorHAnsi" w:hAnsiTheme="minorHAnsi" w:cstheme="minorHAnsi"/>
        </w:rPr>
        <w:t xml:space="preserve"> pour la réalisation de </w:t>
      </w:r>
      <w:r w:rsidR="00F92488" w:rsidRPr="007038CD">
        <w:rPr>
          <w:rFonts w:asciiTheme="minorHAnsi" w:hAnsiTheme="minorHAnsi" w:cstheme="minorHAnsi"/>
        </w:rPr>
        <w:t xml:space="preserve">l’évaluation, précisant la démarche à suivre, les outils et le </w:t>
      </w:r>
      <w:r w:rsidR="005577E3" w:rsidRPr="007038CD">
        <w:rPr>
          <w:rFonts w:asciiTheme="minorHAnsi" w:hAnsiTheme="minorHAnsi" w:cstheme="minorHAnsi"/>
        </w:rPr>
        <w:t>chronogramme</w:t>
      </w:r>
      <w:r w:rsidR="00F92488" w:rsidRPr="007038CD">
        <w:rPr>
          <w:rFonts w:asciiTheme="minorHAnsi" w:hAnsiTheme="minorHAnsi" w:cstheme="minorHAnsi"/>
        </w:rPr>
        <w:t xml:space="preserve"> </w:t>
      </w:r>
      <w:r w:rsidRPr="007038CD">
        <w:rPr>
          <w:rFonts w:asciiTheme="minorHAnsi" w:hAnsiTheme="minorHAnsi" w:cstheme="minorHAnsi"/>
        </w:rPr>
        <w:t>;</w:t>
      </w:r>
    </w:p>
    <w:p w14:paraId="3CE63A18" w14:textId="3EE15D96" w:rsidR="00F92488" w:rsidRPr="007038CD" w:rsidRDefault="005577E3" w:rsidP="007038CD">
      <w:pPr>
        <w:pStyle w:val="Paragraphedeliste"/>
        <w:numPr>
          <w:ilvl w:val="0"/>
          <w:numId w:val="5"/>
        </w:numPr>
        <w:shd w:val="clear" w:color="auto" w:fill="FFFFFF"/>
        <w:spacing w:before="183" w:after="92" w:line="240" w:lineRule="auto"/>
        <w:rPr>
          <w:rFonts w:asciiTheme="minorHAnsi" w:hAnsiTheme="minorHAnsi" w:cstheme="minorHAnsi"/>
        </w:rPr>
      </w:pPr>
      <w:r w:rsidRPr="007038CD">
        <w:rPr>
          <w:rFonts w:asciiTheme="minorHAnsi" w:hAnsiTheme="minorHAnsi" w:cstheme="minorHAnsi"/>
        </w:rPr>
        <w:t>Rapport provisoire ;</w:t>
      </w:r>
    </w:p>
    <w:p w14:paraId="11E0862B" w14:textId="3F1F00D1" w:rsidR="00F92488" w:rsidRPr="007038CD" w:rsidRDefault="005577E3" w:rsidP="007038CD">
      <w:pPr>
        <w:pStyle w:val="Paragraphedeliste"/>
        <w:numPr>
          <w:ilvl w:val="0"/>
          <w:numId w:val="5"/>
        </w:numPr>
        <w:shd w:val="clear" w:color="auto" w:fill="FFFFFF"/>
        <w:spacing w:before="183" w:after="92" w:line="240" w:lineRule="auto"/>
        <w:rPr>
          <w:rFonts w:asciiTheme="minorHAnsi" w:hAnsiTheme="minorHAnsi" w:cstheme="minorHAnsi"/>
        </w:rPr>
      </w:pPr>
      <w:r w:rsidRPr="007038CD">
        <w:rPr>
          <w:rFonts w:asciiTheme="minorHAnsi" w:hAnsiTheme="minorHAnsi" w:cstheme="minorHAnsi"/>
        </w:rPr>
        <w:t>Rapport final.</w:t>
      </w:r>
    </w:p>
    <w:p w14:paraId="74538FB1" w14:textId="77777777" w:rsidR="00A71C1A" w:rsidRDefault="00A71C1A">
      <w:pPr>
        <w:spacing w:after="0"/>
        <w:jc w:val="both"/>
        <w:rPr>
          <w:b/>
          <w:sz w:val="24"/>
          <w:szCs w:val="24"/>
          <w:u w:val="single"/>
        </w:rPr>
      </w:pPr>
    </w:p>
    <w:p w14:paraId="44BC6460" w14:textId="77777777" w:rsidR="00A71C1A" w:rsidRDefault="00B21729">
      <w:pPr>
        <w:spacing w:after="0"/>
        <w:jc w:val="both"/>
        <w:rPr>
          <w:b/>
          <w:sz w:val="24"/>
          <w:szCs w:val="24"/>
          <w:u w:val="single"/>
        </w:rPr>
      </w:pPr>
      <w:r>
        <w:rPr>
          <w:b/>
          <w:sz w:val="24"/>
          <w:szCs w:val="24"/>
          <w:u w:val="single"/>
        </w:rPr>
        <w:t>Durée de la consultation :</w:t>
      </w:r>
    </w:p>
    <w:p w14:paraId="0A638015" w14:textId="77777777" w:rsidR="00A71C1A" w:rsidRDefault="00A71C1A">
      <w:pPr>
        <w:spacing w:after="0"/>
        <w:jc w:val="both"/>
        <w:rPr>
          <w:sz w:val="24"/>
          <w:szCs w:val="24"/>
        </w:rPr>
      </w:pPr>
    </w:p>
    <w:p w14:paraId="6D5A6BBB" w14:textId="40ED6356" w:rsidR="005577E3" w:rsidRDefault="00B21729" w:rsidP="002A2CE8">
      <w:pPr>
        <w:spacing w:after="0"/>
        <w:jc w:val="both"/>
        <w:rPr>
          <w:sz w:val="24"/>
          <w:szCs w:val="24"/>
        </w:rPr>
      </w:pPr>
      <w:bookmarkStart w:id="1" w:name="_heading=h.1fob9te" w:colFirst="0" w:colLast="0"/>
      <w:bookmarkEnd w:id="1"/>
      <w:r>
        <w:rPr>
          <w:sz w:val="24"/>
          <w:szCs w:val="24"/>
        </w:rPr>
        <w:t xml:space="preserve">La consultation </w:t>
      </w:r>
      <w:r w:rsidRPr="002A2CE8">
        <w:rPr>
          <w:sz w:val="24"/>
          <w:szCs w:val="24"/>
        </w:rPr>
        <w:t xml:space="preserve">s'étalera sur </w:t>
      </w:r>
      <w:r w:rsidR="005577E3" w:rsidRPr="002A2CE8">
        <w:rPr>
          <w:sz w:val="24"/>
          <w:szCs w:val="24"/>
        </w:rPr>
        <w:t>3</w:t>
      </w:r>
      <w:r w:rsidR="008253B7" w:rsidRPr="002A2CE8">
        <w:rPr>
          <w:sz w:val="24"/>
          <w:szCs w:val="24"/>
        </w:rPr>
        <w:t>0 jours</w:t>
      </w:r>
      <w:r w:rsidRPr="002A2CE8">
        <w:rPr>
          <w:sz w:val="24"/>
          <w:szCs w:val="24"/>
        </w:rPr>
        <w:t>, à partir de la signature du contrat et jusqu’à</w:t>
      </w:r>
      <w:r w:rsidR="005577E3" w:rsidRPr="002A2CE8">
        <w:rPr>
          <w:sz w:val="24"/>
          <w:szCs w:val="24"/>
        </w:rPr>
        <w:t xml:space="preserve"> maximum</w:t>
      </w:r>
      <w:r w:rsidRPr="002A2CE8">
        <w:rPr>
          <w:sz w:val="24"/>
          <w:szCs w:val="24"/>
        </w:rPr>
        <w:t xml:space="preserve"> </w:t>
      </w:r>
      <w:r w:rsidR="005577E3" w:rsidRPr="002A2CE8">
        <w:rPr>
          <w:sz w:val="24"/>
          <w:szCs w:val="24"/>
        </w:rPr>
        <w:t xml:space="preserve">2 mois après </w:t>
      </w:r>
      <w:r w:rsidRPr="002A2CE8">
        <w:rPr>
          <w:sz w:val="24"/>
          <w:szCs w:val="24"/>
        </w:rPr>
        <w:t>la fin du projet</w:t>
      </w:r>
      <w:r>
        <w:rPr>
          <w:sz w:val="24"/>
          <w:szCs w:val="24"/>
        </w:rPr>
        <w:t>.</w:t>
      </w:r>
    </w:p>
    <w:p w14:paraId="6A5173D4" w14:textId="77777777" w:rsidR="00A71C1A" w:rsidRDefault="00A71C1A">
      <w:pPr>
        <w:spacing w:after="0"/>
        <w:ind w:left="720"/>
        <w:jc w:val="both"/>
        <w:rPr>
          <w:color w:val="000000"/>
          <w:sz w:val="24"/>
          <w:szCs w:val="24"/>
        </w:rPr>
      </w:pPr>
    </w:p>
    <w:p w14:paraId="51D57A29" w14:textId="4DF1F10E" w:rsidR="00A71C1A" w:rsidRDefault="00B21729">
      <w:pPr>
        <w:jc w:val="both"/>
        <w:rPr>
          <w:b/>
          <w:sz w:val="24"/>
          <w:szCs w:val="24"/>
          <w:u w:val="single"/>
        </w:rPr>
      </w:pPr>
      <w:r>
        <w:rPr>
          <w:b/>
          <w:sz w:val="24"/>
          <w:szCs w:val="24"/>
          <w:u w:val="single"/>
        </w:rPr>
        <w:t xml:space="preserve">Profil du consultant </w:t>
      </w:r>
      <w:r w:rsidR="00BB2B00">
        <w:rPr>
          <w:b/>
          <w:sz w:val="24"/>
          <w:szCs w:val="24"/>
          <w:u w:val="single"/>
        </w:rPr>
        <w:t xml:space="preserve">individuel </w:t>
      </w:r>
      <w:r>
        <w:rPr>
          <w:b/>
          <w:sz w:val="24"/>
          <w:szCs w:val="24"/>
          <w:u w:val="single"/>
        </w:rPr>
        <w:t>ou agence :</w:t>
      </w:r>
    </w:p>
    <w:p w14:paraId="05BC5130" w14:textId="77777777" w:rsidR="00A71C1A" w:rsidRDefault="00B21729">
      <w:pPr>
        <w:jc w:val="both"/>
        <w:rPr>
          <w:rFonts w:ascii="Garamond" w:eastAsia="Garamond" w:hAnsi="Garamond" w:cs="Garamond"/>
          <w:color w:val="000000"/>
          <w:sz w:val="24"/>
          <w:szCs w:val="24"/>
        </w:rPr>
      </w:pPr>
      <w:r>
        <w:rPr>
          <w:sz w:val="24"/>
          <w:szCs w:val="24"/>
        </w:rPr>
        <w:t xml:space="preserve">Le.a candidat.e doit justifier de : </w:t>
      </w:r>
    </w:p>
    <w:p w14:paraId="27C35077" w14:textId="4DF4817A" w:rsidR="00BB2B00" w:rsidRPr="007038CD" w:rsidRDefault="00BB2B00" w:rsidP="007038CD">
      <w:pPr>
        <w:pStyle w:val="Paragraphedeliste"/>
        <w:numPr>
          <w:ilvl w:val="0"/>
          <w:numId w:val="5"/>
        </w:numPr>
        <w:shd w:val="clear" w:color="auto" w:fill="FFFFFF"/>
        <w:spacing w:before="183" w:after="92" w:line="240" w:lineRule="auto"/>
        <w:rPr>
          <w:rFonts w:asciiTheme="minorHAnsi" w:hAnsiTheme="minorHAnsi" w:cstheme="minorHAnsi"/>
        </w:rPr>
      </w:pPr>
      <w:r w:rsidRPr="007038CD">
        <w:rPr>
          <w:rFonts w:asciiTheme="minorHAnsi" w:hAnsiTheme="minorHAnsi" w:cstheme="minorHAnsi"/>
        </w:rPr>
        <w:t xml:space="preserve">Compétences et expériences significatives en évaluation de projets internationaux au Maroc ou à défaut en zone méditerranée. </w:t>
      </w:r>
    </w:p>
    <w:p w14:paraId="0AF2A9A5" w14:textId="5F085A44" w:rsidR="00BB2B00" w:rsidRPr="007038CD" w:rsidRDefault="00BB2B00" w:rsidP="007038CD">
      <w:pPr>
        <w:pStyle w:val="Paragraphedeliste"/>
        <w:numPr>
          <w:ilvl w:val="0"/>
          <w:numId w:val="5"/>
        </w:numPr>
        <w:shd w:val="clear" w:color="auto" w:fill="FFFFFF"/>
        <w:spacing w:before="183" w:after="92" w:line="240" w:lineRule="auto"/>
        <w:rPr>
          <w:rFonts w:asciiTheme="minorHAnsi" w:hAnsiTheme="minorHAnsi" w:cstheme="minorHAnsi"/>
        </w:rPr>
      </w:pPr>
      <w:r w:rsidRPr="007038CD">
        <w:rPr>
          <w:rFonts w:asciiTheme="minorHAnsi" w:hAnsiTheme="minorHAnsi" w:cstheme="minorHAnsi"/>
        </w:rPr>
        <w:t xml:space="preserve">Expertise dans la </w:t>
      </w:r>
      <w:r w:rsidR="002A2CE8" w:rsidRPr="007038CD">
        <w:rPr>
          <w:rFonts w:asciiTheme="minorHAnsi" w:hAnsiTheme="minorHAnsi" w:cstheme="minorHAnsi"/>
        </w:rPr>
        <w:t>thématique</w:t>
      </w:r>
      <w:r w:rsidRPr="007038CD">
        <w:rPr>
          <w:rFonts w:asciiTheme="minorHAnsi" w:hAnsiTheme="minorHAnsi" w:cstheme="minorHAnsi"/>
        </w:rPr>
        <w:t xml:space="preserve"> de la protection de l’enfance et de l’égalité de genre.</w:t>
      </w:r>
    </w:p>
    <w:p w14:paraId="1A62D7B4" w14:textId="4CC06960" w:rsidR="00BB2B00" w:rsidRPr="007038CD" w:rsidRDefault="00BB2B00" w:rsidP="007038CD">
      <w:pPr>
        <w:pStyle w:val="Paragraphedeliste"/>
        <w:numPr>
          <w:ilvl w:val="0"/>
          <w:numId w:val="5"/>
        </w:numPr>
        <w:shd w:val="clear" w:color="auto" w:fill="FFFFFF"/>
        <w:spacing w:before="183" w:after="92" w:line="240" w:lineRule="auto"/>
        <w:rPr>
          <w:rFonts w:asciiTheme="minorHAnsi" w:hAnsiTheme="minorHAnsi" w:cstheme="minorHAnsi"/>
        </w:rPr>
      </w:pPr>
      <w:r w:rsidRPr="007038CD">
        <w:rPr>
          <w:rFonts w:asciiTheme="minorHAnsi" w:hAnsiTheme="minorHAnsi" w:cstheme="minorHAnsi"/>
        </w:rPr>
        <w:t>B</w:t>
      </w:r>
      <w:r w:rsidR="002A2CE8">
        <w:rPr>
          <w:rFonts w:asciiTheme="minorHAnsi" w:hAnsiTheme="minorHAnsi" w:cstheme="minorHAnsi"/>
        </w:rPr>
        <w:t>onne connaissance de la société</w:t>
      </w:r>
      <w:r w:rsidRPr="007038CD">
        <w:rPr>
          <w:rFonts w:asciiTheme="minorHAnsi" w:hAnsiTheme="minorHAnsi" w:cstheme="minorHAnsi"/>
        </w:rPr>
        <w:t xml:space="preserve"> civile au Maroc.</w:t>
      </w:r>
    </w:p>
    <w:p w14:paraId="5CF9CB6D" w14:textId="76C66FB8" w:rsidR="00BB2B00" w:rsidRPr="007038CD" w:rsidRDefault="00BB2B00" w:rsidP="007038CD">
      <w:pPr>
        <w:pStyle w:val="Paragraphedeliste"/>
        <w:numPr>
          <w:ilvl w:val="0"/>
          <w:numId w:val="5"/>
        </w:numPr>
        <w:shd w:val="clear" w:color="auto" w:fill="FFFFFF"/>
        <w:spacing w:before="183" w:after="92" w:line="240" w:lineRule="auto"/>
        <w:rPr>
          <w:rFonts w:asciiTheme="minorHAnsi" w:hAnsiTheme="minorHAnsi" w:cstheme="minorHAnsi"/>
        </w:rPr>
      </w:pPr>
      <w:r w:rsidRPr="007038CD">
        <w:rPr>
          <w:rFonts w:asciiTheme="minorHAnsi" w:hAnsiTheme="minorHAnsi" w:cstheme="minorHAnsi"/>
        </w:rPr>
        <w:t xml:space="preserve">Expérience des questions de renforcement des capacités des acteurs locaux.  </w:t>
      </w:r>
    </w:p>
    <w:p w14:paraId="4310CF0E" w14:textId="5FF6716F" w:rsidR="00BB2B00" w:rsidRDefault="00BB2B00" w:rsidP="007038CD">
      <w:pPr>
        <w:pStyle w:val="Paragraphedeliste"/>
        <w:numPr>
          <w:ilvl w:val="0"/>
          <w:numId w:val="5"/>
        </w:numPr>
        <w:shd w:val="clear" w:color="auto" w:fill="FFFFFF"/>
        <w:spacing w:before="183" w:after="92" w:line="240" w:lineRule="auto"/>
        <w:rPr>
          <w:rFonts w:asciiTheme="minorHAnsi" w:hAnsiTheme="minorHAnsi" w:cstheme="minorHAnsi"/>
        </w:rPr>
      </w:pPr>
      <w:r w:rsidRPr="007038CD">
        <w:rPr>
          <w:rFonts w:asciiTheme="minorHAnsi" w:hAnsiTheme="minorHAnsi" w:cstheme="minorHAnsi"/>
        </w:rPr>
        <w:t xml:space="preserve">La maitrise de </w:t>
      </w:r>
      <w:r w:rsidRPr="007038CD">
        <w:rPr>
          <w:rFonts w:asciiTheme="minorHAnsi" w:hAnsiTheme="minorHAnsi" w:cstheme="minorHAnsi"/>
          <w:b/>
          <w:bCs/>
        </w:rPr>
        <w:t>l’Arabe et du Français (écrit et oral) est obligatoire</w:t>
      </w:r>
      <w:r w:rsidRPr="007038CD">
        <w:rPr>
          <w:rFonts w:asciiTheme="minorHAnsi" w:hAnsiTheme="minorHAnsi" w:cstheme="minorHAnsi"/>
        </w:rPr>
        <w:t>.</w:t>
      </w:r>
    </w:p>
    <w:p w14:paraId="0C975594" w14:textId="77777777" w:rsidR="002A2CE8" w:rsidRPr="007038CD" w:rsidRDefault="002A2CE8" w:rsidP="002A2CE8">
      <w:pPr>
        <w:pStyle w:val="Paragraphedeliste"/>
        <w:numPr>
          <w:ilvl w:val="0"/>
          <w:numId w:val="0"/>
        </w:numPr>
        <w:shd w:val="clear" w:color="auto" w:fill="FFFFFF"/>
        <w:spacing w:before="183" w:after="92" w:line="240" w:lineRule="auto"/>
        <w:ind w:left="720"/>
        <w:rPr>
          <w:rFonts w:asciiTheme="minorHAnsi" w:hAnsiTheme="minorHAnsi" w:cstheme="minorHAnsi"/>
        </w:rPr>
      </w:pPr>
    </w:p>
    <w:p w14:paraId="2D62AA95" w14:textId="77777777" w:rsidR="00A71C1A" w:rsidRDefault="00B21729">
      <w:pPr>
        <w:spacing w:line="320" w:lineRule="auto"/>
        <w:jc w:val="both"/>
        <w:rPr>
          <w:b/>
          <w:sz w:val="24"/>
          <w:szCs w:val="24"/>
          <w:u w:val="single"/>
        </w:rPr>
      </w:pPr>
      <w:bookmarkStart w:id="2" w:name="_heading=h.gjdgxs" w:colFirst="0" w:colLast="0"/>
      <w:bookmarkStart w:id="3" w:name="_heading=h.m3s6g9nfysr1" w:colFirst="0" w:colLast="0"/>
      <w:bookmarkEnd w:id="2"/>
      <w:bookmarkEnd w:id="3"/>
      <w:r>
        <w:rPr>
          <w:b/>
          <w:sz w:val="24"/>
          <w:szCs w:val="24"/>
          <w:u w:val="single"/>
        </w:rPr>
        <w:t xml:space="preserve">Honoraires : </w:t>
      </w:r>
    </w:p>
    <w:p w14:paraId="3D36D6B8" w14:textId="77777777" w:rsidR="00A71C1A" w:rsidRDefault="00B21729">
      <w:pPr>
        <w:spacing w:line="320" w:lineRule="auto"/>
        <w:jc w:val="both"/>
        <w:rPr>
          <w:sz w:val="24"/>
          <w:szCs w:val="24"/>
        </w:rPr>
      </w:pPr>
      <w:r>
        <w:rPr>
          <w:sz w:val="24"/>
          <w:szCs w:val="24"/>
        </w:rPr>
        <w:lastRenderedPageBreak/>
        <w:t>Le montant total de la prestation doit inclure le montant global du coût de l’assistance technique en TTC comprenant les honoraires de la consultation.</w:t>
      </w:r>
    </w:p>
    <w:p w14:paraId="7BD81A58" w14:textId="77777777" w:rsidR="00A71C1A" w:rsidRDefault="00B2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rPr>
      </w:pPr>
      <w:r>
        <w:rPr>
          <w:b/>
          <w:sz w:val="24"/>
          <w:szCs w:val="24"/>
          <w:u w:val="single"/>
        </w:rPr>
        <w:t xml:space="preserve">Candidature : </w:t>
      </w:r>
    </w:p>
    <w:p w14:paraId="2C77A971" w14:textId="77777777" w:rsidR="00A71C1A" w:rsidRDefault="00A71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b/>
          <w:sz w:val="24"/>
          <w:szCs w:val="24"/>
        </w:rPr>
      </w:pPr>
    </w:p>
    <w:p w14:paraId="7F4B32FF" w14:textId="4D002885" w:rsidR="007038CD" w:rsidRPr="007038CD" w:rsidRDefault="007038CD" w:rsidP="007038CD">
      <w:pPr>
        <w:spacing w:after="0" w:line="240" w:lineRule="auto"/>
        <w:rPr>
          <w:b/>
          <w:sz w:val="24"/>
          <w:szCs w:val="24"/>
        </w:rPr>
      </w:pPr>
      <w:r w:rsidRPr="007038CD">
        <w:rPr>
          <w:b/>
          <w:sz w:val="24"/>
          <w:szCs w:val="24"/>
        </w:rPr>
        <w:t xml:space="preserve">1. </w:t>
      </w:r>
      <w:r w:rsidR="00B21729" w:rsidRPr="007038CD">
        <w:rPr>
          <w:b/>
          <w:sz w:val="24"/>
          <w:szCs w:val="24"/>
        </w:rPr>
        <w:t>Eléments constitutifs du dossier de candidature</w:t>
      </w:r>
    </w:p>
    <w:p w14:paraId="2C3A2A34" w14:textId="77777777" w:rsidR="00BB2B00" w:rsidRPr="00FB66C2" w:rsidRDefault="00BB2B00" w:rsidP="007038CD">
      <w:pPr>
        <w:pStyle w:val="Paragraphedeliste"/>
        <w:numPr>
          <w:ilvl w:val="0"/>
          <w:numId w:val="16"/>
        </w:numPr>
        <w:rPr>
          <w:rFonts w:asciiTheme="minorHAnsi" w:hAnsiTheme="minorHAnsi" w:cstheme="minorHAnsi"/>
        </w:rPr>
      </w:pPr>
      <w:r w:rsidRPr="00FB66C2">
        <w:rPr>
          <w:rFonts w:asciiTheme="minorHAnsi" w:hAnsiTheme="minorHAnsi" w:cstheme="minorHAnsi"/>
        </w:rPr>
        <w:t>Une note méthodologique détaillée, contenant un Plan de Travail et un calendrier ;</w:t>
      </w:r>
    </w:p>
    <w:p w14:paraId="2507E2E6" w14:textId="14D18787" w:rsidR="00BB2B00" w:rsidRPr="00FB66C2" w:rsidRDefault="00BB2B00" w:rsidP="007038CD">
      <w:pPr>
        <w:pStyle w:val="Paragraphedeliste"/>
        <w:numPr>
          <w:ilvl w:val="0"/>
          <w:numId w:val="16"/>
        </w:numPr>
        <w:rPr>
          <w:rFonts w:asciiTheme="minorHAnsi" w:hAnsiTheme="minorHAnsi" w:cstheme="minorHAnsi"/>
        </w:rPr>
      </w:pPr>
      <w:r w:rsidRPr="00FB66C2">
        <w:rPr>
          <w:rFonts w:asciiTheme="minorHAnsi" w:hAnsiTheme="minorHAnsi" w:cstheme="minorHAnsi"/>
        </w:rPr>
        <w:t xml:space="preserve">Le </w:t>
      </w:r>
      <w:r w:rsidR="00B21729" w:rsidRPr="00FB66C2">
        <w:rPr>
          <w:rFonts w:asciiTheme="minorHAnsi" w:hAnsiTheme="minorHAnsi" w:cstheme="minorHAnsi"/>
        </w:rPr>
        <w:t>CV de l’intéressé.e</w:t>
      </w:r>
      <w:r w:rsidRPr="00FB66C2">
        <w:rPr>
          <w:rFonts w:asciiTheme="minorHAnsi" w:hAnsiTheme="minorHAnsi" w:cstheme="minorHAnsi"/>
        </w:rPr>
        <w:t> ;</w:t>
      </w:r>
      <w:bookmarkStart w:id="4" w:name="_heading=h.30j0zll" w:colFirst="0" w:colLast="0"/>
      <w:bookmarkEnd w:id="4"/>
    </w:p>
    <w:p w14:paraId="6648B8A8" w14:textId="085F2C78" w:rsidR="00BB2B00" w:rsidRPr="00FB66C2" w:rsidRDefault="00B21729" w:rsidP="007038CD">
      <w:pPr>
        <w:pStyle w:val="Paragraphedeliste"/>
        <w:numPr>
          <w:ilvl w:val="0"/>
          <w:numId w:val="16"/>
        </w:numPr>
        <w:rPr>
          <w:rFonts w:asciiTheme="minorHAnsi" w:hAnsiTheme="minorHAnsi" w:cstheme="minorHAnsi"/>
        </w:rPr>
      </w:pPr>
      <w:r w:rsidRPr="00FB66C2">
        <w:rPr>
          <w:rFonts w:asciiTheme="minorHAnsi" w:hAnsiTheme="minorHAnsi" w:cstheme="minorHAnsi"/>
        </w:rPr>
        <w:t xml:space="preserve">Une </w:t>
      </w:r>
      <w:r w:rsidR="00BB2B00" w:rsidRPr="00FB66C2">
        <w:rPr>
          <w:rFonts w:asciiTheme="minorHAnsi" w:hAnsiTheme="minorHAnsi" w:cstheme="minorHAnsi"/>
        </w:rPr>
        <w:t xml:space="preserve">offre </w:t>
      </w:r>
      <w:r w:rsidRPr="00FB66C2">
        <w:rPr>
          <w:rFonts w:asciiTheme="minorHAnsi" w:hAnsiTheme="minorHAnsi" w:cstheme="minorHAnsi"/>
        </w:rPr>
        <w:t>financière détaillée sur la prestation, prix unitaire, prix total de la</w:t>
      </w:r>
      <w:r w:rsidR="00BB2B00" w:rsidRPr="00FB66C2">
        <w:rPr>
          <w:rFonts w:asciiTheme="minorHAnsi" w:hAnsiTheme="minorHAnsi" w:cstheme="minorHAnsi"/>
        </w:rPr>
        <w:t xml:space="preserve"> </w:t>
      </w:r>
      <w:r w:rsidR="00FB66C2">
        <w:rPr>
          <w:rFonts w:asciiTheme="minorHAnsi" w:hAnsiTheme="minorHAnsi" w:cstheme="minorHAnsi"/>
        </w:rPr>
        <w:t>prestation (TTC</w:t>
      </w:r>
      <w:r w:rsidR="00BB2B00" w:rsidRPr="00FB66C2">
        <w:rPr>
          <w:rFonts w:asciiTheme="minorHAnsi" w:hAnsiTheme="minorHAnsi" w:cstheme="minorHAnsi"/>
        </w:rPr>
        <w:t xml:space="preserve"> et si applicable, incluant la TVA</w:t>
      </w:r>
      <w:r w:rsidR="00FB66C2">
        <w:rPr>
          <w:rFonts w:asciiTheme="minorHAnsi" w:hAnsiTheme="minorHAnsi" w:cstheme="minorHAnsi"/>
        </w:rPr>
        <w:t>)</w:t>
      </w:r>
      <w:r w:rsidR="007038CD" w:rsidRPr="00FB66C2">
        <w:rPr>
          <w:rFonts w:asciiTheme="minorHAnsi" w:hAnsiTheme="minorHAnsi" w:cstheme="minorHAnsi"/>
        </w:rPr>
        <w:t xml:space="preserve">, en tenant compte de ces éléments et en intégrant la répartition proposée du nombre de jours travaillés aux </w:t>
      </w:r>
      <w:r w:rsidR="00443FDA" w:rsidRPr="00FB66C2">
        <w:rPr>
          <w:rFonts w:asciiTheme="minorHAnsi" w:hAnsiTheme="minorHAnsi" w:cstheme="minorHAnsi"/>
        </w:rPr>
        <w:t>différentes phases</w:t>
      </w:r>
      <w:r w:rsidR="007038CD" w:rsidRPr="00FB66C2">
        <w:rPr>
          <w:rFonts w:asciiTheme="minorHAnsi" w:hAnsiTheme="minorHAnsi" w:cstheme="minorHAnsi"/>
        </w:rPr>
        <w:t xml:space="preserve"> de l’évaluation, en lien avec la méthodologie proposée</w:t>
      </w:r>
      <w:r w:rsidR="00BB2B00" w:rsidRPr="00FB66C2">
        <w:rPr>
          <w:rFonts w:asciiTheme="minorHAnsi" w:hAnsiTheme="minorHAnsi" w:cstheme="minorHAnsi"/>
        </w:rPr>
        <w:t xml:space="preserve"> </w:t>
      </w:r>
      <w:r w:rsidRPr="00FB66C2">
        <w:rPr>
          <w:rFonts w:asciiTheme="minorHAnsi" w:hAnsiTheme="minorHAnsi" w:cstheme="minorHAnsi"/>
        </w:rPr>
        <w:t>;</w:t>
      </w:r>
    </w:p>
    <w:p w14:paraId="67FF1E46" w14:textId="43F31B51" w:rsidR="00A71C1A" w:rsidRPr="00FB66C2" w:rsidRDefault="00B21729" w:rsidP="007038CD">
      <w:pPr>
        <w:pStyle w:val="Paragraphedeliste"/>
        <w:numPr>
          <w:ilvl w:val="0"/>
          <w:numId w:val="16"/>
        </w:numPr>
        <w:rPr>
          <w:rFonts w:asciiTheme="minorHAnsi" w:hAnsiTheme="minorHAnsi" w:cstheme="minorHAnsi"/>
        </w:rPr>
      </w:pPr>
      <w:r w:rsidRPr="00FB66C2">
        <w:rPr>
          <w:rFonts w:asciiTheme="minorHAnsi" w:hAnsiTheme="minorHAnsi" w:cstheme="minorHAnsi"/>
        </w:rPr>
        <w:t xml:space="preserve">Un dossier administratif du consultant(e) ou de l’agence de communication comprenant l’attestation d’inscription au registre d'auto entrepreneur pour les personnes physique, ou les identifiants juridiques et fiscaux de l’agence de communication entre autres </w:t>
      </w:r>
    </w:p>
    <w:p w14:paraId="41394C7B" w14:textId="77777777" w:rsidR="00A71C1A" w:rsidRDefault="00B21729">
      <w:pPr>
        <w:spacing w:after="0" w:line="240" w:lineRule="auto"/>
        <w:jc w:val="both"/>
        <w:rPr>
          <w:b/>
          <w:sz w:val="24"/>
          <w:szCs w:val="24"/>
        </w:rPr>
      </w:pPr>
      <w:r>
        <w:rPr>
          <w:b/>
          <w:sz w:val="24"/>
          <w:szCs w:val="24"/>
        </w:rPr>
        <w:t>2. Dépôt des dossiers de candidature</w:t>
      </w:r>
    </w:p>
    <w:p w14:paraId="4E37D77C" w14:textId="77777777" w:rsidR="00A71C1A" w:rsidRDefault="00A71C1A">
      <w:pPr>
        <w:spacing w:after="0" w:line="240" w:lineRule="auto"/>
        <w:jc w:val="both"/>
        <w:rPr>
          <w:sz w:val="24"/>
          <w:szCs w:val="24"/>
        </w:rPr>
      </w:pPr>
    </w:p>
    <w:p w14:paraId="4F5290DB" w14:textId="53E09A81" w:rsidR="00A71C1A" w:rsidRPr="002A2CE8" w:rsidRDefault="00B21729">
      <w:pPr>
        <w:spacing w:after="0" w:line="240" w:lineRule="auto"/>
        <w:jc w:val="both"/>
        <w:rPr>
          <w:sz w:val="24"/>
          <w:szCs w:val="24"/>
        </w:rPr>
      </w:pPr>
      <w:r>
        <w:rPr>
          <w:sz w:val="24"/>
          <w:szCs w:val="24"/>
        </w:rPr>
        <w:t xml:space="preserve">Les dossiers de candidature sont à envoyer </w:t>
      </w:r>
      <w:r w:rsidRPr="002A2CE8">
        <w:rPr>
          <w:sz w:val="24"/>
          <w:szCs w:val="24"/>
        </w:rPr>
        <w:t xml:space="preserve">à l’adresse suivant : </w:t>
      </w:r>
      <w:hyperlink r:id="rId8" w:history="1">
        <w:r w:rsidR="00FB66C2" w:rsidRPr="002A2CE8">
          <w:rPr>
            <w:rStyle w:val="Lienhypertexte"/>
            <w:b/>
            <w:sz w:val="24"/>
            <w:szCs w:val="24"/>
          </w:rPr>
          <w:t>rabat@aibi.it</w:t>
        </w:r>
      </w:hyperlink>
      <w:r w:rsidR="00FB66C2" w:rsidRPr="002A2CE8">
        <w:rPr>
          <w:sz w:val="24"/>
          <w:szCs w:val="24"/>
        </w:rPr>
        <w:t>, e</w:t>
      </w:r>
      <w:r w:rsidRPr="002A2CE8">
        <w:rPr>
          <w:sz w:val="24"/>
          <w:szCs w:val="24"/>
        </w:rPr>
        <w:t>n spécifiant en objet : «</w:t>
      </w:r>
      <w:r w:rsidR="0063461B" w:rsidRPr="002A2CE8">
        <w:rPr>
          <w:sz w:val="24"/>
          <w:szCs w:val="24"/>
        </w:rPr>
        <w:t xml:space="preserve"> </w:t>
      </w:r>
      <w:r w:rsidR="0063461B" w:rsidRPr="002A2CE8">
        <w:rPr>
          <w:b/>
          <w:bCs/>
          <w:sz w:val="24"/>
          <w:szCs w:val="24"/>
        </w:rPr>
        <w:t>Evaluation finale projet ENI/2020/421660</w:t>
      </w:r>
      <w:r w:rsidR="0063461B" w:rsidRPr="002A2CE8">
        <w:rPr>
          <w:sz w:val="24"/>
          <w:szCs w:val="24"/>
        </w:rPr>
        <w:t xml:space="preserve"> </w:t>
      </w:r>
      <w:r w:rsidRPr="002A2CE8">
        <w:rPr>
          <w:sz w:val="24"/>
          <w:szCs w:val="24"/>
        </w:rPr>
        <w:t>».</w:t>
      </w:r>
    </w:p>
    <w:p w14:paraId="2D8BEF1C" w14:textId="77777777" w:rsidR="00A71C1A" w:rsidRPr="002A2CE8" w:rsidRDefault="00A71C1A">
      <w:pPr>
        <w:spacing w:after="0" w:line="240" w:lineRule="auto"/>
        <w:jc w:val="both"/>
        <w:rPr>
          <w:sz w:val="23"/>
          <w:szCs w:val="23"/>
        </w:rPr>
      </w:pPr>
    </w:p>
    <w:p w14:paraId="6C60DEEF" w14:textId="77777777" w:rsidR="00A71C1A" w:rsidRPr="002A2CE8" w:rsidRDefault="00A71C1A">
      <w:pPr>
        <w:spacing w:after="0" w:line="240" w:lineRule="auto"/>
        <w:rPr>
          <w:sz w:val="24"/>
          <w:szCs w:val="24"/>
        </w:rPr>
      </w:pPr>
    </w:p>
    <w:p w14:paraId="5B5567E4" w14:textId="4A873544" w:rsidR="00A71C1A" w:rsidRDefault="00B21729" w:rsidP="007038CD">
      <w:pPr>
        <w:spacing w:after="0" w:line="240" w:lineRule="auto"/>
        <w:rPr>
          <w:sz w:val="24"/>
          <w:szCs w:val="24"/>
        </w:rPr>
      </w:pPr>
      <w:r w:rsidRPr="002A2CE8">
        <w:rPr>
          <w:sz w:val="24"/>
          <w:szCs w:val="24"/>
        </w:rPr>
        <w:t xml:space="preserve">Date limite d’envoi des candidatures : </w:t>
      </w:r>
      <w:r w:rsidRPr="002A2CE8">
        <w:rPr>
          <w:b/>
          <w:color w:val="FF0000"/>
          <w:sz w:val="24"/>
          <w:szCs w:val="24"/>
          <w:u w:val="single"/>
        </w:rPr>
        <w:t xml:space="preserve">le </w:t>
      </w:r>
      <w:r w:rsidR="002A2CE8" w:rsidRPr="002A2CE8">
        <w:rPr>
          <w:b/>
          <w:color w:val="FF0000"/>
          <w:sz w:val="24"/>
          <w:szCs w:val="24"/>
          <w:u w:val="single"/>
        </w:rPr>
        <w:t>21</w:t>
      </w:r>
      <w:r w:rsidR="00BB2B00" w:rsidRPr="002A2CE8">
        <w:rPr>
          <w:b/>
          <w:color w:val="FF0000"/>
          <w:sz w:val="24"/>
          <w:szCs w:val="24"/>
          <w:u w:val="single"/>
        </w:rPr>
        <w:t xml:space="preserve"> </w:t>
      </w:r>
      <w:r w:rsidR="0063461B" w:rsidRPr="002A2CE8">
        <w:rPr>
          <w:b/>
          <w:color w:val="FF0000"/>
          <w:sz w:val="24"/>
          <w:szCs w:val="24"/>
          <w:u w:val="single"/>
        </w:rPr>
        <w:t>Avril</w:t>
      </w:r>
      <w:r w:rsidRPr="002A2CE8">
        <w:rPr>
          <w:b/>
          <w:color w:val="FF0000"/>
          <w:sz w:val="24"/>
          <w:szCs w:val="24"/>
          <w:u w:val="single"/>
        </w:rPr>
        <w:t xml:space="preserve"> 202</w:t>
      </w:r>
      <w:r w:rsidR="0063461B" w:rsidRPr="002A2CE8">
        <w:rPr>
          <w:b/>
          <w:color w:val="FF0000"/>
          <w:sz w:val="24"/>
          <w:szCs w:val="24"/>
          <w:u w:val="single"/>
        </w:rPr>
        <w:t>3</w:t>
      </w:r>
      <w:r w:rsidRPr="002A2CE8">
        <w:rPr>
          <w:b/>
          <w:color w:val="FF0000"/>
          <w:sz w:val="24"/>
          <w:szCs w:val="24"/>
          <w:u w:val="single"/>
        </w:rPr>
        <w:t xml:space="preserve"> à </w:t>
      </w:r>
      <w:r w:rsidR="0063461B" w:rsidRPr="002A2CE8">
        <w:rPr>
          <w:b/>
          <w:color w:val="FF0000"/>
          <w:sz w:val="24"/>
          <w:szCs w:val="24"/>
          <w:u w:val="single"/>
        </w:rPr>
        <w:t>16</w:t>
      </w:r>
      <w:r w:rsidRPr="002A2CE8">
        <w:rPr>
          <w:b/>
          <w:color w:val="FF0000"/>
          <w:sz w:val="24"/>
          <w:szCs w:val="24"/>
          <w:u w:val="single"/>
        </w:rPr>
        <w:t xml:space="preserve">h </w:t>
      </w:r>
      <w:r w:rsidR="0063461B" w:rsidRPr="002A2CE8">
        <w:rPr>
          <w:b/>
          <w:color w:val="FF0000"/>
          <w:sz w:val="24"/>
          <w:szCs w:val="24"/>
          <w:u w:val="single"/>
        </w:rPr>
        <w:t>(</w:t>
      </w:r>
      <w:r w:rsidRPr="002A2CE8">
        <w:rPr>
          <w:b/>
          <w:color w:val="FF0000"/>
          <w:sz w:val="24"/>
          <w:szCs w:val="24"/>
          <w:u w:val="single"/>
        </w:rPr>
        <w:t>Heure Maroc</w:t>
      </w:r>
      <w:r w:rsidR="0063461B" w:rsidRPr="002A2CE8">
        <w:rPr>
          <w:b/>
          <w:color w:val="FF0000"/>
          <w:sz w:val="24"/>
          <w:szCs w:val="24"/>
          <w:u w:val="single"/>
        </w:rPr>
        <w:t>)</w:t>
      </w:r>
      <w:r>
        <w:rPr>
          <w:sz w:val="24"/>
          <w:szCs w:val="24"/>
        </w:rPr>
        <w:t xml:space="preserve"> </w:t>
      </w:r>
    </w:p>
    <w:p w14:paraId="767F7369" w14:textId="77777777" w:rsidR="00A71C1A" w:rsidRDefault="00A71C1A">
      <w:pPr>
        <w:spacing w:after="0" w:line="240" w:lineRule="auto"/>
        <w:rPr>
          <w:sz w:val="24"/>
          <w:szCs w:val="24"/>
        </w:rPr>
      </w:pPr>
    </w:p>
    <w:p w14:paraId="68C0AC13" w14:textId="77777777" w:rsidR="00A71C1A" w:rsidRDefault="00A71C1A">
      <w:pPr>
        <w:spacing w:after="0" w:line="240" w:lineRule="auto"/>
        <w:rPr>
          <w:sz w:val="24"/>
          <w:szCs w:val="24"/>
        </w:rPr>
      </w:pPr>
    </w:p>
    <w:p w14:paraId="1C8AFBA3" w14:textId="77777777" w:rsidR="00A71C1A" w:rsidRDefault="00A71C1A">
      <w:pPr>
        <w:jc w:val="both"/>
        <w:rPr>
          <w:b/>
          <w:sz w:val="24"/>
          <w:szCs w:val="24"/>
        </w:rPr>
      </w:pPr>
    </w:p>
    <w:p w14:paraId="1AE467AC" w14:textId="77777777" w:rsidR="00A71C1A" w:rsidRDefault="00A71C1A">
      <w:pPr>
        <w:jc w:val="both"/>
        <w:rPr>
          <w:sz w:val="24"/>
          <w:szCs w:val="24"/>
        </w:rPr>
      </w:pPr>
    </w:p>
    <w:p w14:paraId="4769E197" w14:textId="77777777" w:rsidR="00A71C1A" w:rsidRDefault="00A71C1A">
      <w:pPr>
        <w:jc w:val="both"/>
        <w:rPr>
          <w:sz w:val="24"/>
          <w:szCs w:val="24"/>
        </w:rPr>
      </w:pPr>
    </w:p>
    <w:p w14:paraId="440028DC" w14:textId="77777777" w:rsidR="00A71C1A" w:rsidRDefault="00A71C1A">
      <w:pPr>
        <w:jc w:val="both"/>
        <w:rPr>
          <w:sz w:val="24"/>
          <w:szCs w:val="24"/>
        </w:rPr>
      </w:pPr>
    </w:p>
    <w:sectPr w:rsidR="00A71C1A">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7CE3" w14:textId="77777777" w:rsidR="00D355F2" w:rsidRDefault="00D355F2">
      <w:pPr>
        <w:spacing w:after="0" w:line="240" w:lineRule="auto"/>
      </w:pPr>
      <w:r>
        <w:separator/>
      </w:r>
    </w:p>
  </w:endnote>
  <w:endnote w:type="continuationSeparator" w:id="0">
    <w:p w14:paraId="360E8411" w14:textId="77777777" w:rsidR="00D355F2" w:rsidRDefault="00D3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FFB93" w14:textId="3C2BEE51" w:rsidR="00A71C1A" w:rsidRDefault="00B2172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8729A">
      <w:rPr>
        <w:noProof/>
        <w:color w:val="000000"/>
      </w:rPr>
      <w:t>2</w:t>
    </w:r>
    <w:r>
      <w:rPr>
        <w:color w:val="000000"/>
      </w:rPr>
      <w:fldChar w:fldCharType="end"/>
    </w:r>
  </w:p>
  <w:p w14:paraId="0FC2FA4A" w14:textId="77777777" w:rsidR="00A71C1A" w:rsidRDefault="00A71C1A">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BA05" w14:textId="77777777" w:rsidR="00A71C1A" w:rsidRDefault="00A71C1A">
    <w:pPr>
      <w:pBdr>
        <w:top w:val="nil"/>
        <w:left w:val="nil"/>
        <w:bottom w:val="nil"/>
        <w:right w:val="nil"/>
        <w:between w:val="nil"/>
      </w:pBdr>
      <w:tabs>
        <w:tab w:val="center" w:pos="4536"/>
        <w:tab w:val="right" w:pos="9072"/>
      </w:tabs>
      <w:spacing w:after="0" w:line="240" w:lineRule="auto"/>
      <w:jc w:val="right"/>
      <w:rPr>
        <w:color w:val="000000"/>
      </w:rPr>
    </w:pPr>
  </w:p>
  <w:p w14:paraId="32A748A7" w14:textId="77777777" w:rsidR="00A71C1A" w:rsidRDefault="00A71C1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4D3B1" w14:textId="77777777" w:rsidR="00D355F2" w:rsidRDefault="00D355F2">
      <w:pPr>
        <w:spacing w:after="0" w:line="240" w:lineRule="auto"/>
      </w:pPr>
      <w:r>
        <w:separator/>
      </w:r>
    </w:p>
  </w:footnote>
  <w:footnote w:type="continuationSeparator" w:id="0">
    <w:p w14:paraId="3A715916" w14:textId="77777777" w:rsidR="00D355F2" w:rsidRDefault="00D3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14DE" w14:textId="77777777" w:rsidR="00A71C1A" w:rsidRDefault="00B21729">
    <w:pPr>
      <w:pBdr>
        <w:top w:val="nil"/>
        <w:left w:val="nil"/>
        <w:bottom w:val="nil"/>
        <w:right w:val="nil"/>
        <w:between w:val="nil"/>
      </w:pBdr>
      <w:tabs>
        <w:tab w:val="center" w:pos="4536"/>
        <w:tab w:val="right" w:pos="9072"/>
      </w:tabs>
      <w:spacing w:after="0" w:line="240" w:lineRule="auto"/>
      <w:rPr>
        <w:color w:val="000000"/>
      </w:rPr>
    </w:pPr>
    <w:r>
      <w:rPr>
        <w:color w:val="000000"/>
        <w:sz w:val="16"/>
        <w:szCs w:val="16"/>
      </w:rPr>
      <w:tab/>
    </w:r>
    <w:r>
      <w:rPr>
        <w:color w:val="000000"/>
        <w:sz w:val="16"/>
        <w:szCs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E197" w14:textId="77777777" w:rsidR="00A71C1A" w:rsidRDefault="00B2172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21EE6823" wp14:editId="521DBF0F">
          <wp:simplePos x="0" y="0"/>
          <wp:positionH relativeFrom="column">
            <wp:posOffset>4533900</wp:posOffset>
          </wp:positionH>
          <wp:positionV relativeFrom="paragraph">
            <wp:posOffset>-133343</wp:posOffset>
          </wp:positionV>
          <wp:extent cx="1701111" cy="597302"/>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01111" cy="597302"/>
                  </a:xfrm>
                  <a:prstGeom prst="rect">
                    <a:avLst/>
                  </a:prstGeom>
                  <a:ln/>
                </pic:spPr>
              </pic:pic>
            </a:graphicData>
          </a:graphic>
        </wp:anchor>
      </w:drawing>
    </w:r>
    <w:r>
      <w:rPr>
        <w:noProof/>
      </w:rPr>
      <w:drawing>
        <wp:anchor distT="0" distB="0" distL="0" distR="0" simplePos="0" relativeHeight="251659264" behindDoc="1" locked="0" layoutInCell="1" hidden="0" allowOverlap="1" wp14:anchorId="5A379311" wp14:editId="2111CD3E">
          <wp:simplePos x="0" y="0"/>
          <wp:positionH relativeFrom="column">
            <wp:posOffset>-666743</wp:posOffset>
          </wp:positionH>
          <wp:positionV relativeFrom="paragraph">
            <wp:posOffset>-133343</wp:posOffset>
          </wp:positionV>
          <wp:extent cx="2159000" cy="730250"/>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12804" b="9512"/>
                  <a:stretch>
                    <a:fillRect/>
                  </a:stretch>
                </pic:blipFill>
                <pic:spPr>
                  <a:xfrm>
                    <a:off x="0" y="0"/>
                    <a:ext cx="2159000" cy="730250"/>
                  </a:xfrm>
                  <a:prstGeom prst="rect">
                    <a:avLst/>
                  </a:prstGeom>
                  <a:ln/>
                </pic:spPr>
              </pic:pic>
            </a:graphicData>
          </a:graphic>
        </wp:anchor>
      </w:drawing>
    </w:r>
  </w:p>
  <w:p w14:paraId="0E6F3167" w14:textId="77777777" w:rsidR="00A71C1A" w:rsidRDefault="00B21729">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p>
  <w:p w14:paraId="5AC70433" w14:textId="77777777" w:rsidR="00A71C1A" w:rsidRDefault="00A71C1A">
    <w:pPr>
      <w:pBdr>
        <w:top w:val="nil"/>
        <w:left w:val="nil"/>
        <w:bottom w:val="nil"/>
        <w:right w:val="nil"/>
        <w:between w:val="nil"/>
      </w:pBdr>
      <w:tabs>
        <w:tab w:val="center" w:pos="4536"/>
        <w:tab w:val="right" w:pos="9072"/>
      </w:tabs>
      <w:spacing w:after="0" w:line="240" w:lineRule="auto"/>
      <w:jc w:val="center"/>
      <w:rPr>
        <w:color w:val="000000"/>
      </w:rPr>
    </w:pPr>
  </w:p>
  <w:p w14:paraId="1FF8F2D1" w14:textId="77777777" w:rsidR="00A71C1A" w:rsidRDefault="00A71C1A">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E6DE9"/>
    <w:multiLevelType w:val="multilevel"/>
    <w:tmpl w:val="BF164006"/>
    <w:lvl w:ilvl="0">
      <w:start w:val="1"/>
      <w:numFmt w:val="bullet"/>
      <w:pStyle w:val="Paragraphedeliste"/>
      <w:lvlText w:val="-"/>
      <w:lvlJc w:val="left"/>
      <w:pPr>
        <w:ind w:left="1560" w:hanging="360"/>
      </w:pPr>
      <w:rPr>
        <w:rFonts w:ascii="Arial" w:eastAsia="Arial" w:hAnsi="Arial" w:cs="Arial"/>
        <w:color w:val="212121"/>
        <w:highlight w:val="white"/>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abstractNum w:abstractNumId="1" w15:restartNumberingAfterBreak="0">
    <w:nsid w:val="38170AEF"/>
    <w:multiLevelType w:val="hybridMultilevel"/>
    <w:tmpl w:val="2F5A1094"/>
    <w:lvl w:ilvl="0" w:tplc="873EE14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C32461"/>
    <w:multiLevelType w:val="multilevel"/>
    <w:tmpl w:val="D116F55E"/>
    <w:lvl w:ilvl="0">
      <w:start w:val="1"/>
      <w:numFmt w:val="bullet"/>
      <w:lvlText w:val="-"/>
      <w:lvlJc w:val="left"/>
      <w:pPr>
        <w:ind w:left="720" w:hanging="360"/>
      </w:pPr>
      <w:rPr>
        <w:rFonts w:ascii="Arial" w:eastAsia="Arial" w:hAnsi="Arial" w:cs="Arial"/>
        <w:color w:val="212121"/>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BD5C25"/>
    <w:multiLevelType w:val="hybridMultilevel"/>
    <w:tmpl w:val="9366362A"/>
    <w:lvl w:ilvl="0" w:tplc="4FFCE83A">
      <w:numFmt w:val="bullet"/>
      <w:lvlText w:val="-"/>
      <w:lvlJc w:val="left"/>
      <w:pPr>
        <w:ind w:left="560" w:hanging="20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4C64C6"/>
    <w:multiLevelType w:val="hybridMultilevel"/>
    <w:tmpl w:val="A7F83F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7625CE"/>
    <w:multiLevelType w:val="multilevel"/>
    <w:tmpl w:val="F102A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2E4B3E"/>
    <w:multiLevelType w:val="hybridMultilevel"/>
    <w:tmpl w:val="C23051EC"/>
    <w:lvl w:ilvl="0" w:tplc="873EE14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4241B3"/>
    <w:multiLevelType w:val="multilevel"/>
    <w:tmpl w:val="4B5A3D66"/>
    <w:lvl w:ilvl="0">
      <w:start w:val="1"/>
      <w:numFmt w:val="bullet"/>
      <w:pStyle w:val="RequirementsList"/>
      <w:lvlText w:val="-"/>
      <w:lvlJc w:val="left"/>
      <w:pPr>
        <w:ind w:left="720" w:hanging="360"/>
      </w:pPr>
      <w:rPr>
        <w:rFonts w:ascii="Arial" w:eastAsia="Arial" w:hAnsi="Arial" w:cs="Arial"/>
        <w:color w:val="212121"/>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FB096D"/>
    <w:multiLevelType w:val="hybridMultilevel"/>
    <w:tmpl w:val="BD4A33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A6427B"/>
    <w:multiLevelType w:val="hybridMultilevel"/>
    <w:tmpl w:val="D4CE8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FA7BAA"/>
    <w:multiLevelType w:val="hybridMultilevel"/>
    <w:tmpl w:val="D5B068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52423E"/>
    <w:multiLevelType w:val="hybridMultilevel"/>
    <w:tmpl w:val="2714AE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D14407"/>
    <w:multiLevelType w:val="multilevel"/>
    <w:tmpl w:val="EFC6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7"/>
  </w:num>
  <w:num w:numId="5">
    <w:abstractNumId w:val="11"/>
  </w:num>
  <w:num w:numId="6">
    <w:abstractNumId w:val="0"/>
  </w:num>
  <w:num w:numId="7">
    <w:abstractNumId w:val="4"/>
  </w:num>
  <w:num w:numId="8">
    <w:abstractNumId w:val="10"/>
  </w:num>
  <w:num w:numId="9">
    <w:abstractNumId w:val="1"/>
  </w:num>
  <w:num w:numId="10">
    <w:abstractNumId w:val="0"/>
  </w:num>
  <w:num w:numId="11">
    <w:abstractNumId w:val="0"/>
  </w:num>
  <w:num w:numId="12">
    <w:abstractNumId w:val="6"/>
  </w:num>
  <w:num w:numId="13">
    <w:abstractNumId w:val="3"/>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1A"/>
    <w:rsid w:val="00040616"/>
    <w:rsid w:val="001605B1"/>
    <w:rsid w:val="001A0E51"/>
    <w:rsid w:val="001F248C"/>
    <w:rsid w:val="002A2CE8"/>
    <w:rsid w:val="003976C0"/>
    <w:rsid w:val="00443FDA"/>
    <w:rsid w:val="004742F5"/>
    <w:rsid w:val="005577E3"/>
    <w:rsid w:val="005A5B6E"/>
    <w:rsid w:val="0063461B"/>
    <w:rsid w:val="00665B95"/>
    <w:rsid w:val="00671C32"/>
    <w:rsid w:val="006732E9"/>
    <w:rsid w:val="006855BD"/>
    <w:rsid w:val="006F001C"/>
    <w:rsid w:val="007038CD"/>
    <w:rsid w:val="00770048"/>
    <w:rsid w:val="008253B7"/>
    <w:rsid w:val="00917468"/>
    <w:rsid w:val="00993130"/>
    <w:rsid w:val="00A71C1A"/>
    <w:rsid w:val="00AF5D96"/>
    <w:rsid w:val="00B21729"/>
    <w:rsid w:val="00B84692"/>
    <w:rsid w:val="00BB2B00"/>
    <w:rsid w:val="00C7124F"/>
    <w:rsid w:val="00D048E8"/>
    <w:rsid w:val="00D22E2F"/>
    <w:rsid w:val="00D355F2"/>
    <w:rsid w:val="00D94AB2"/>
    <w:rsid w:val="00E60861"/>
    <w:rsid w:val="00E7087D"/>
    <w:rsid w:val="00F20407"/>
    <w:rsid w:val="00F8729A"/>
    <w:rsid w:val="00F92488"/>
    <w:rsid w:val="00FB66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B6B0"/>
  <w15:docId w15:val="{81DE6E78-3AAF-42AC-973F-235852BE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ED"/>
    <w:rPr>
      <w:rFonts w:eastAsia="Times New Roman" w:cs="Times New Roman"/>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A438ED"/>
    <w:pPr>
      <w:numPr>
        <w:numId w:val="1"/>
      </w:numPr>
      <w:spacing w:line="320" w:lineRule="exact"/>
      <w:contextualSpacing/>
      <w:jc w:val="both"/>
    </w:pPr>
    <w:rPr>
      <w:rFonts w:ascii="Garamond" w:hAnsi="Garamond" w:cs="Arial"/>
      <w:sz w:val="24"/>
      <w:szCs w:val="24"/>
      <w:lang w:eastAsia="es-ES"/>
    </w:rPr>
  </w:style>
  <w:style w:type="paragraph" w:styleId="En-tte">
    <w:name w:val="header"/>
    <w:basedOn w:val="Normal"/>
    <w:link w:val="En-tteCar"/>
    <w:uiPriority w:val="99"/>
    <w:unhideWhenUsed/>
    <w:rsid w:val="00A438ED"/>
    <w:pPr>
      <w:tabs>
        <w:tab w:val="center" w:pos="4536"/>
        <w:tab w:val="right" w:pos="9072"/>
      </w:tabs>
      <w:spacing w:after="0" w:line="240" w:lineRule="auto"/>
    </w:pPr>
    <w:rPr>
      <w:rFonts w:eastAsia="Calibri"/>
      <w:lang w:eastAsia="en-US"/>
    </w:rPr>
  </w:style>
  <w:style w:type="character" w:customStyle="1" w:styleId="En-tteCar">
    <w:name w:val="En-tête Car"/>
    <w:basedOn w:val="Policepardfaut"/>
    <w:link w:val="En-tte"/>
    <w:uiPriority w:val="99"/>
    <w:rsid w:val="00A438ED"/>
    <w:rPr>
      <w:rFonts w:ascii="Calibri" w:eastAsia="Calibri" w:hAnsi="Calibri" w:cs="Times New Roman"/>
      <w:sz w:val="22"/>
      <w:szCs w:val="22"/>
      <w:lang w:val="fr-FR"/>
    </w:rPr>
  </w:style>
  <w:style w:type="paragraph" w:styleId="Pieddepage">
    <w:name w:val="footer"/>
    <w:basedOn w:val="Normal"/>
    <w:link w:val="PieddepageCar"/>
    <w:uiPriority w:val="99"/>
    <w:unhideWhenUsed/>
    <w:rsid w:val="00A438ED"/>
    <w:pPr>
      <w:tabs>
        <w:tab w:val="center" w:pos="4536"/>
        <w:tab w:val="right" w:pos="9072"/>
      </w:tabs>
      <w:spacing w:after="0" w:line="240" w:lineRule="auto"/>
    </w:pPr>
    <w:rPr>
      <w:rFonts w:eastAsia="Calibri"/>
      <w:lang w:eastAsia="en-US"/>
    </w:rPr>
  </w:style>
  <w:style w:type="character" w:customStyle="1" w:styleId="PieddepageCar">
    <w:name w:val="Pied de page Car"/>
    <w:basedOn w:val="Policepardfaut"/>
    <w:link w:val="Pieddepage"/>
    <w:uiPriority w:val="99"/>
    <w:rsid w:val="00A438ED"/>
    <w:rPr>
      <w:rFonts w:ascii="Calibri" w:eastAsia="Calibri" w:hAnsi="Calibri" w:cs="Times New Roman"/>
      <w:sz w:val="22"/>
      <w:szCs w:val="22"/>
      <w:lang w:val="fr-FR"/>
    </w:rPr>
  </w:style>
  <w:style w:type="character" w:styleId="Lienhypertexte">
    <w:name w:val="Hyperlink"/>
    <w:basedOn w:val="Policepardfaut"/>
    <w:uiPriority w:val="99"/>
    <w:unhideWhenUsed/>
    <w:rsid w:val="00A438ED"/>
    <w:rPr>
      <w:color w:val="0000FF"/>
      <w:u w:val="single"/>
    </w:rPr>
  </w:style>
  <w:style w:type="character" w:styleId="lev">
    <w:name w:val="Strong"/>
    <w:uiPriority w:val="22"/>
    <w:qFormat/>
    <w:rsid w:val="00A438ED"/>
    <w:rPr>
      <w:b/>
      <w:bCs/>
    </w:rPr>
  </w:style>
  <w:style w:type="paragraph" w:customStyle="1" w:styleId="xmsonormal">
    <w:name w:val="x_msonormal"/>
    <w:basedOn w:val="Normal"/>
    <w:rsid w:val="00A438ED"/>
    <w:pPr>
      <w:spacing w:before="100" w:beforeAutospacing="1" w:after="100" w:afterAutospacing="1" w:line="240" w:lineRule="auto"/>
    </w:pPr>
    <w:rPr>
      <w:rFonts w:ascii="Times New Roman" w:hAnsi="Times New Roman"/>
      <w:sz w:val="24"/>
      <w:szCs w:val="24"/>
    </w:rPr>
  </w:style>
  <w:style w:type="character" w:customStyle="1" w:styleId="Nessuno">
    <w:name w:val="Nessuno"/>
    <w:rsid w:val="00A438ED"/>
    <w:rPr>
      <w:lang w:val="fr-FR"/>
    </w:rPr>
  </w:style>
  <w:style w:type="paragraph" w:styleId="PrformatHTML">
    <w:name w:val="HTML Preformatted"/>
    <w:basedOn w:val="Normal"/>
    <w:link w:val="PrformatHTMLCar"/>
    <w:uiPriority w:val="99"/>
    <w:unhideWhenUsed/>
    <w:rsid w:val="00A43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PrformatHTMLCar">
    <w:name w:val="Préformaté HTML Car"/>
    <w:basedOn w:val="Policepardfaut"/>
    <w:link w:val="PrformatHTML"/>
    <w:uiPriority w:val="99"/>
    <w:rsid w:val="00A438ED"/>
    <w:rPr>
      <w:rFonts w:ascii="Courier New" w:eastAsia="Times New Roman" w:hAnsi="Courier New" w:cs="Courier New"/>
      <w:sz w:val="20"/>
      <w:szCs w:val="20"/>
      <w:lang w:val="en-US"/>
    </w:rPr>
  </w:style>
  <w:style w:type="paragraph" w:customStyle="1" w:styleId="RequirementsList">
    <w:name w:val="Requirements List"/>
    <w:basedOn w:val="Normal"/>
    <w:rsid w:val="00A438ED"/>
    <w:pPr>
      <w:numPr>
        <w:numId w:val="4"/>
      </w:numPr>
      <w:spacing w:before="100" w:after="100" w:line="288" w:lineRule="auto"/>
    </w:pPr>
    <w:rPr>
      <w:rFonts w:ascii="Tahoma" w:hAnsi="Tahoma"/>
      <w:sz w:val="16"/>
      <w:szCs w:val="24"/>
      <w:lang w:val="en-US" w:eastAsia="en-US"/>
    </w:rPr>
  </w:style>
  <w:style w:type="character" w:styleId="Marquedecommentaire">
    <w:name w:val="annotation reference"/>
    <w:basedOn w:val="Policepardfaut"/>
    <w:uiPriority w:val="99"/>
    <w:semiHidden/>
    <w:unhideWhenUsed/>
    <w:rsid w:val="005A6A61"/>
    <w:rPr>
      <w:sz w:val="16"/>
      <w:szCs w:val="16"/>
    </w:rPr>
  </w:style>
  <w:style w:type="paragraph" w:styleId="Commentaire">
    <w:name w:val="annotation text"/>
    <w:basedOn w:val="Normal"/>
    <w:link w:val="CommentaireCar"/>
    <w:uiPriority w:val="99"/>
    <w:semiHidden/>
    <w:unhideWhenUsed/>
    <w:rsid w:val="005A6A61"/>
    <w:pPr>
      <w:spacing w:line="240" w:lineRule="auto"/>
    </w:pPr>
    <w:rPr>
      <w:sz w:val="20"/>
      <w:szCs w:val="20"/>
    </w:rPr>
  </w:style>
  <w:style w:type="character" w:customStyle="1" w:styleId="CommentaireCar">
    <w:name w:val="Commentaire Car"/>
    <w:basedOn w:val="Policepardfaut"/>
    <w:link w:val="Commentaire"/>
    <w:uiPriority w:val="99"/>
    <w:semiHidden/>
    <w:rsid w:val="005A6A61"/>
    <w:rPr>
      <w:rFonts w:ascii="Calibri" w:eastAsia="Times New Roman" w:hAnsi="Calibri"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5A6A61"/>
    <w:rPr>
      <w:b/>
      <w:bCs/>
    </w:rPr>
  </w:style>
  <w:style w:type="character" w:customStyle="1" w:styleId="ObjetducommentaireCar">
    <w:name w:val="Objet du commentaire Car"/>
    <w:basedOn w:val="CommentaireCar"/>
    <w:link w:val="Objetducommentaire"/>
    <w:uiPriority w:val="99"/>
    <w:semiHidden/>
    <w:rsid w:val="005A6A61"/>
    <w:rPr>
      <w:rFonts w:ascii="Calibri" w:eastAsia="Times New Roman" w:hAnsi="Calibri" w:cs="Times New Roman"/>
      <w:b/>
      <w:bCs/>
      <w:sz w:val="20"/>
      <w:szCs w:val="20"/>
      <w:lang w:val="fr-FR" w:eastAsia="fr-FR"/>
    </w:rPr>
  </w:style>
  <w:style w:type="paragraph" w:styleId="Textedebulles">
    <w:name w:val="Balloon Text"/>
    <w:basedOn w:val="Normal"/>
    <w:link w:val="TextedebullesCar"/>
    <w:uiPriority w:val="99"/>
    <w:semiHidden/>
    <w:unhideWhenUsed/>
    <w:rsid w:val="005A6A61"/>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A6A61"/>
    <w:rPr>
      <w:rFonts w:ascii="Times New Roman" w:eastAsia="Times New Roman" w:hAnsi="Times New Roman" w:cs="Times New Roman"/>
      <w:sz w:val="18"/>
      <w:szCs w:val="18"/>
      <w:lang w:val="fr-FR" w:eastAsia="fr-FR"/>
    </w:rPr>
  </w:style>
  <w:style w:type="paragraph" w:customStyle="1" w:styleId="Normale1">
    <w:name w:val="Normale1"/>
    <w:rsid w:val="00AF46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u w:color="000000"/>
      <w:lang w:val="en-US"/>
    </w:rPr>
  </w:style>
  <w:style w:type="character" w:customStyle="1" w:styleId="Menzionenonrisolta1">
    <w:name w:val="Menzione non risolta1"/>
    <w:basedOn w:val="Policepardfaut"/>
    <w:uiPriority w:val="99"/>
    <w:semiHidden/>
    <w:unhideWhenUsed/>
    <w:rsid w:val="00E8232E"/>
    <w:rPr>
      <w:color w:val="605E5C"/>
      <w:shd w:val="clear" w:color="auto" w:fill="E1DFD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spip">
    <w:name w:val="spip"/>
    <w:basedOn w:val="Normal"/>
    <w:rsid w:val="00C0170F"/>
    <w:pPr>
      <w:suppressAutoHyphens/>
      <w:spacing w:before="280" w:after="280" w:line="240" w:lineRule="auto"/>
    </w:pPr>
    <w:rPr>
      <w:rFonts w:ascii="Times New Roman" w:hAnsi="Times New Roman"/>
      <w:sz w:val="24"/>
      <w:szCs w:val="24"/>
      <w:lang w:eastAsia="ar-SA"/>
    </w:rPr>
  </w:style>
  <w:style w:type="paragraph" w:customStyle="1" w:styleId="Default">
    <w:name w:val="Default"/>
    <w:rsid w:val="00DE11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
    <w:basedOn w:val="TableNormal9"/>
    <w:tblPr>
      <w:tblStyleRowBandSize w:val="1"/>
      <w:tblStyleColBandSize w:val="1"/>
    </w:tblPr>
  </w:style>
  <w:style w:type="table" w:customStyle="1" w:styleId="a0">
    <w:basedOn w:val="TableNormal9"/>
    <w:tblPr>
      <w:tblStyleRowBandSize w:val="1"/>
      <w:tblStyleColBandSize w:val="1"/>
    </w:tblPr>
  </w:style>
  <w:style w:type="table" w:customStyle="1" w:styleId="a1">
    <w:basedOn w:val="TableNormal9"/>
    <w:tblPr>
      <w:tblStyleRowBandSize w:val="1"/>
      <w:tblStyleColBandSize w:val="1"/>
    </w:tblPr>
  </w:style>
  <w:style w:type="table" w:customStyle="1" w:styleId="a2">
    <w:basedOn w:val="TableNormal6"/>
    <w:tblPr>
      <w:tblStyleRowBandSize w:val="1"/>
      <w:tblStyleColBandSize w:val="1"/>
    </w:tblPr>
  </w:style>
  <w:style w:type="table" w:customStyle="1" w:styleId="a3">
    <w:basedOn w:val="TableNormal6"/>
    <w:tblPr>
      <w:tblStyleRowBandSize w:val="1"/>
      <w:tblStyleColBandSize w:val="1"/>
    </w:tblPr>
  </w:style>
  <w:style w:type="table" w:customStyle="1" w:styleId="a4">
    <w:basedOn w:val="TableNormal6"/>
    <w:tblPr>
      <w:tblStyleRowBandSize w:val="1"/>
      <w:tblStyleColBandSize w:val="1"/>
    </w:tblPr>
  </w:style>
  <w:style w:type="table" w:customStyle="1" w:styleId="a5">
    <w:basedOn w:val="TableNormal3"/>
    <w:tblPr>
      <w:tblStyleRowBandSize w:val="1"/>
      <w:tblStyleColBandSize w:val="1"/>
    </w:tblPr>
  </w:style>
  <w:style w:type="table" w:customStyle="1" w:styleId="a6">
    <w:basedOn w:val="TableNormal3"/>
    <w:tblPr>
      <w:tblStyleRowBandSize w:val="1"/>
      <w:tblStyleColBandSize w:val="1"/>
    </w:tblPr>
  </w:style>
  <w:style w:type="table" w:customStyle="1" w:styleId="a7">
    <w:basedOn w:val="TableNormal3"/>
    <w:tblPr>
      <w:tblStyleRowBandSize w:val="1"/>
      <w:tblStyleColBandSize w:val="1"/>
    </w:tblPr>
  </w:style>
  <w:style w:type="table" w:customStyle="1" w:styleId="a8">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abat@aib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cQk7zi3VppS4sId4fRIoyX4pA==">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9875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aib_2</cp:lastModifiedBy>
  <cp:revision>2</cp:revision>
  <dcterms:created xsi:type="dcterms:W3CDTF">2023-04-13T11:33:00Z</dcterms:created>
  <dcterms:modified xsi:type="dcterms:W3CDTF">2023-04-13T11:33:00Z</dcterms:modified>
</cp:coreProperties>
</file>