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1E" w:rsidRPr="00CF3B1E" w:rsidRDefault="00CF3B1E" w:rsidP="00711205">
      <w:pPr>
        <w:jc w:val="center"/>
        <w:rPr>
          <w:rFonts w:ascii="Cambria" w:hAnsi="Cambria"/>
          <w:b/>
          <w:bCs/>
        </w:rPr>
      </w:pPr>
      <w:r>
        <w:rPr>
          <w:rFonts w:cs="Calibri"/>
          <w:b/>
          <w:color w:val="365F91"/>
        </w:rPr>
        <w:t>FICHE DE POSTE</w:t>
      </w:r>
    </w:p>
    <w:tbl>
      <w:tblPr>
        <w:tblpPr w:leftFromText="141" w:rightFromText="141" w:vertAnchor="page" w:horzAnchor="margin" w:tblpXSpec="center" w:tblpY="2410"/>
        <w:tblW w:w="1105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180" w:firstRow="0" w:lastRow="0" w:firstColumn="1" w:lastColumn="1" w:noHBand="0" w:noVBand="0"/>
      </w:tblPr>
      <w:tblGrid>
        <w:gridCol w:w="4077"/>
        <w:gridCol w:w="6981"/>
      </w:tblGrid>
      <w:tr w:rsidR="00CF3B1E" w:rsidTr="00540FD7">
        <w:trPr>
          <w:trHeight w:val="497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Fiche de poste 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  <w:hideMark/>
          </w:tcPr>
          <w:p w:rsidR="00CF3B1E" w:rsidRDefault="00FB4B1E">
            <w:p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 xml:space="preserve">Coordinateur terrain </w:t>
            </w:r>
          </w:p>
        </w:tc>
      </w:tr>
      <w:tr w:rsidR="00CF3B1E" w:rsidTr="00540FD7">
        <w:trPr>
          <w:trHeight w:val="135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Organisme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Association « Al Jisr»</w:t>
            </w:r>
          </w:p>
        </w:tc>
      </w:tr>
      <w:tr w:rsidR="00CF3B1E" w:rsidTr="00540FD7">
        <w:trPr>
          <w:trHeight w:val="135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Localisation du poste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  <w:hideMark/>
          </w:tcPr>
          <w:p w:rsidR="00FB4B1E" w:rsidRDefault="00711205" w:rsidP="00984E32">
            <w:pPr>
              <w:overflowPunct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365F91"/>
              </w:rPr>
            </w:pPr>
            <w:r>
              <w:rPr>
                <w:rFonts w:ascii="Cambria" w:hAnsi="Cambria"/>
                <w:b/>
                <w:bCs/>
                <w:color w:val="365F91"/>
              </w:rPr>
              <w:t>Laayoun</w:t>
            </w:r>
          </w:p>
        </w:tc>
      </w:tr>
      <w:tr w:rsidR="00CF3B1E" w:rsidTr="00540FD7">
        <w:trPr>
          <w:trHeight w:val="135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Domaine d’intervention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CF3B1E" w:rsidRDefault="00FB4B1E" w:rsidP="00711205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mbria" w:hAnsi="Cambria"/>
                <w:b/>
                <w:bCs/>
                <w:color w:val="365F91"/>
              </w:rPr>
              <w:t xml:space="preserve">Programme </w:t>
            </w:r>
            <w:r w:rsidR="00711205">
              <w:rPr>
                <w:rFonts w:ascii="Cambria" w:hAnsi="Cambria"/>
                <w:b/>
                <w:bCs/>
                <w:color w:val="365F91"/>
              </w:rPr>
              <w:t>Education-Formation</w:t>
            </w:r>
          </w:p>
        </w:tc>
      </w:tr>
      <w:tr w:rsidR="00CF3B1E" w:rsidTr="00AE6F3E">
        <w:trPr>
          <w:trHeight w:val="511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Intitulé du poste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  <w:hideMark/>
          </w:tcPr>
          <w:p w:rsidR="00CF3B1E" w:rsidRDefault="00FB4B1E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 xml:space="preserve">Coordinateur terrain </w:t>
            </w:r>
          </w:p>
        </w:tc>
      </w:tr>
      <w:tr w:rsidR="00CF3B1E" w:rsidTr="00540FD7">
        <w:trPr>
          <w:trHeight w:val="135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CF3B1E" w:rsidRDefault="00CF3B1E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Rattaché à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CF3B1E" w:rsidRDefault="00FB4B1E" w:rsidP="00711205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Pôle éducation (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Cheffe de projet</w:t>
            </w:r>
            <w:r>
              <w:rPr>
                <w:rFonts w:ascii="Candara" w:hAnsi="Candara"/>
                <w:b/>
                <w:bCs/>
                <w:color w:val="365F91"/>
              </w:rPr>
              <w:t>)</w:t>
            </w:r>
          </w:p>
        </w:tc>
      </w:tr>
      <w:tr w:rsidR="00F03FB0" w:rsidTr="00540FD7">
        <w:trPr>
          <w:trHeight w:val="135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</w:tcPr>
          <w:p w:rsidR="00F03FB0" w:rsidRDefault="00F03FB0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 xml:space="preserve">Durée de projet 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</w:tcPr>
          <w:p w:rsidR="00F03FB0" w:rsidRDefault="00F03FB0" w:rsidP="00711205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 xml:space="preserve">5 mois </w:t>
            </w:r>
          </w:p>
        </w:tc>
      </w:tr>
      <w:tr w:rsidR="00CF3B1E" w:rsidTr="00AE6F3E">
        <w:trPr>
          <w:trHeight w:val="582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CF3B1E" w:rsidRDefault="008C1E27" w:rsidP="008C1E27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581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Mission principale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C6D9F1" w:themeFill="text2" w:themeFillTint="33"/>
            <w:vAlign w:val="center"/>
            <w:hideMark/>
          </w:tcPr>
          <w:p w:rsidR="00CF3B1E" w:rsidRDefault="00FB4B1E" w:rsidP="00FB4B1E">
            <w:pPr>
              <w:shd w:val="clear" w:color="auto" w:fill="C6D9F1"/>
              <w:overflowPunct w:val="0"/>
              <w:autoSpaceDE w:val="0"/>
              <w:autoSpaceDN w:val="0"/>
              <w:adjustRightInd w:val="0"/>
              <w:ind w:right="2707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Gestion et suivi terrain des projets de l’association</w:t>
            </w:r>
          </w:p>
        </w:tc>
      </w:tr>
      <w:tr w:rsidR="00CF3B1E" w:rsidTr="00540FD7">
        <w:trPr>
          <w:trHeight w:val="135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</w:tcPr>
          <w:p w:rsidR="00CF3B1E" w:rsidRDefault="00CF3B1E" w:rsidP="00540FD7">
            <w:pPr>
              <w:spacing w:before="120" w:after="120" w:line="280" w:lineRule="exact"/>
              <w:ind w:right="-270"/>
              <w:rPr>
                <w:rFonts w:ascii="Candara" w:hAnsi="Candara"/>
                <w:color w:val="365F91"/>
                <w:lang w:eastAsia="en-US"/>
              </w:rPr>
            </w:pPr>
            <w:r>
              <w:rPr>
                <w:rFonts w:ascii="Candara" w:hAnsi="Candara"/>
                <w:color w:val="365F91"/>
              </w:rPr>
              <w:t xml:space="preserve">Eléments principaux du descriptif du poste </w:t>
            </w:r>
            <w:r>
              <w:rPr>
                <w:rFonts w:ascii="Candara" w:hAnsi="Candara"/>
                <w:color w:val="365F91"/>
              </w:rPr>
              <w:br/>
              <w:t>(missions, responsabilités, spécificités)</w:t>
            </w:r>
          </w:p>
          <w:p w:rsidR="00CF3B1E" w:rsidRDefault="00CF3B1E">
            <w:pPr>
              <w:spacing w:before="120" w:after="120" w:line="280" w:lineRule="exact"/>
              <w:rPr>
                <w:rFonts w:ascii="Candara" w:hAnsi="Candara"/>
                <w:color w:val="365F91"/>
              </w:rPr>
            </w:pPr>
          </w:p>
          <w:p w:rsidR="00CF3B1E" w:rsidRDefault="00CF3B1E">
            <w:pPr>
              <w:spacing w:before="120" w:after="120" w:line="280" w:lineRule="exact"/>
              <w:rPr>
                <w:rFonts w:ascii="Candara" w:hAnsi="Candara"/>
                <w:color w:val="365F91"/>
              </w:rPr>
            </w:pPr>
          </w:p>
          <w:p w:rsidR="00CF3B1E" w:rsidRDefault="00CF3B1E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color w:val="365F91"/>
                <w:lang w:eastAsia="en-US"/>
              </w:rPr>
            </w:pP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CF3B1E" w:rsidRPr="00540FD7" w:rsidRDefault="008C1E27" w:rsidP="0032678C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u w:val="single"/>
              </w:rPr>
            </w:pPr>
            <w:r w:rsidRPr="00540FD7">
              <w:rPr>
                <w:rFonts w:ascii="Candara" w:hAnsi="Candara"/>
                <w:b/>
                <w:bCs/>
                <w:color w:val="365F91"/>
                <w:u w:val="single"/>
              </w:rPr>
              <w:t xml:space="preserve">Gestion de projets </w:t>
            </w:r>
            <w:r w:rsidR="00CF3B1E" w:rsidRPr="00540FD7">
              <w:rPr>
                <w:rFonts w:ascii="Candara" w:hAnsi="Candara"/>
                <w:b/>
                <w:bCs/>
                <w:color w:val="365F91"/>
                <w:u w:val="single"/>
              </w:rPr>
              <w:t>:</w:t>
            </w:r>
          </w:p>
          <w:p w:rsidR="008C1E27" w:rsidRPr="0032678C" w:rsidRDefault="008C1E27" w:rsidP="0032678C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</w:rPr>
            </w:pPr>
            <w:r w:rsidRPr="00540FD7">
              <w:rPr>
                <w:rFonts w:ascii="Candara" w:hAnsi="Candara"/>
                <w:b/>
                <w:bCs/>
                <w:color w:val="365F91"/>
                <w:u w:val="single"/>
              </w:rPr>
              <w:t>Responsabilité 1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 xml:space="preserve"> : Gestion technique : le 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Coordi</w:t>
            </w:r>
            <w:r w:rsidR="00711205" w:rsidRPr="0032678C">
              <w:rPr>
                <w:rFonts w:ascii="Candara" w:hAnsi="Candara"/>
                <w:b/>
                <w:bCs/>
                <w:color w:val="365F91"/>
              </w:rPr>
              <w:t>nateur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 xml:space="preserve"> est directement responsable de la bonne exécution technique des pro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jets, sous la supervision de la cheffe de projet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 xml:space="preserve">. Dans ce cadre le Coordinateur est le garant de la bonne planification et exécution des activités, de la gestion/coordination des relations avec 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>le</w:t>
            </w:r>
            <w:r w:rsidR="00F03FB0">
              <w:rPr>
                <w:rFonts w:ascii="Candara" w:hAnsi="Candara"/>
                <w:b/>
                <w:bCs/>
                <w:color w:val="365F91"/>
              </w:rPr>
              <w:t>s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 xml:space="preserve"> </w:t>
            </w:r>
            <w:r w:rsidR="00F03FB0">
              <w:rPr>
                <w:rFonts w:ascii="Candara" w:hAnsi="Candara"/>
                <w:b/>
                <w:bCs/>
                <w:color w:val="365F91"/>
              </w:rPr>
              <w:t>partenaires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>/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 xml:space="preserve">prestataires du projet, de l’application des procédures internes d’Al 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>Jisr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 xml:space="preserve"> et de celles des bailleurs de fonds.</w:t>
            </w:r>
          </w:p>
          <w:p w:rsidR="008C1E27" w:rsidRPr="0032678C" w:rsidRDefault="0032678C" w:rsidP="00711205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</w:rPr>
            </w:pPr>
            <w:r w:rsidRPr="00540FD7">
              <w:rPr>
                <w:rFonts w:ascii="Candara" w:hAnsi="Candara"/>
                <w:b/>
                <w:bCs/>
                <w:color w:val="365F91"/>
                <w:u w:val="single"/>
              </w:rPr>
              <w:t>Responsabilité</w:t>
            </w:r>
            <w:r w:rsidR="00AA3D04" w:rsidRPr="00540FD7">
              <w:rPr>
                <w:rFonts w:ascii="Candara" w:hAnsi="Candara"/>
                <w:b/>
                <w:bCs/>
                <w:color w:val="365F91"/>
                <w:u w:val="single"/>
              </w:rPr>
              <w:t xml:space="preserve"> 2</w:t>
            </w:r>
            <w:r w:rsidR="00AA3D04" w:rsidRPr="0032678C">
              <w:rPr>
                <w:rFonts w:ascii="Candara" w:hAnsi="Candara"/>
                <w:b/>
                <w:bCs/>
                <w:color w:val="365F91"/>
              </w:rPr>
              <w:t xml:space="preserve"> : Gestion contractuelle : le 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>Coord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inateur</w:t>
            </w:r>
            <w:r w:rsidR="00AA3D04" w:rsidRPr="0032678C">
              <w:rPr>
                <w:rFonts w:ascii="Candara" w:hAnsi="Candara"/>
                <w:b/>
                <w:bCs/>
                <w:color w:val="365F91"/>
              </w:rPr>
              <w:t xml:space="preserve"> est responsable de la préparation du 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>reporting</w:t>
            </w:r>
            <w:r w:rsidR="00AA3D04" w:rsidRPr="0032678C">
              <w:rPr>
                <w:rFonts w:ascii="Candara" w:hAnsi="Candara"/>
                <w:b/>
                <w:bCs/>
                <w:color w:val="365F91"/>
              </w:rPr>
              <w:t xml:space="preserve"> narratif, en 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coordination étroite avec la Cheffe de projet</w:t>
            </w:r>
            <w:r w:rsidR="00AA3D04" w:rsidRPr="0032678C">
              <w:rPr>
                <w:rFonts w:ascii="Candara" w:hAnsi="Candara"/>
                <w:b/>
                <w:bCs/>
                <w:color w:val="365F91"/>
              </w:rPr>
              <w:t>.</w:t>
            </w:r>
          </w:p>
          <w:p w:rsidR="00AA3D04" w:rsidRPr="0032678C" w:rsidRDefault="00AA3D04" w:rsidP="0032678C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u w:val="single"/>
              </w:rPr>
            </w:pPr>
            <w:r w:rsidRPr="0032678C">
              <w:rPr>
                <w:rFonts w:ascii="Candara" w:hAnsi="Candara"/>
                <w:b/>
                <w:bCs/>
                <w:color w:val="365F91"/>
                <w:u w:val="single"/>
              </w:rPr>
              <w:t>Gestion d’équipe :</w:t>
            </w:r>
          </w:p>
          <w:p w:rsidR="00AA3D04" w:rsidRPr="0032678C" w:rsidRDefault="00AA3D04" w:rsidP="0032678C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</w:rPr>
            </w:pPr>
            <w:r w:rsidRPr="00540FD7">
              <w:rPr>
                <w:rFonts w:ascii="Candara" w:hAnsi="Candara"/>
                <w:b/>
                <w:bCs/>
                <w:color w:val="365F91"/>
                <w:u w:val="single"/>
              </w:rPr>
              <w:t>Responsabilité 3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> :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 xml:space="preserve"> le coordi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>n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 xml:space="preserve">ateur est directement responsable de l’organisation du travail des participants, du suivi et de l’évaluation de 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>leur action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> : il est dans ce cadre responsable de la bonne application des procédures internes relative à l’organisation du travail et à la gestion des projets d’animation.</w:t>
            </w:r>
          </w:p>
          <w:p w:rsidR="00AA3D04" w:rsidRPr="0032678C" w:rsidRDefault="00AA3D04" w:rsidP="0032678C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  <w:u w:val="single"/>
              </w:rPr>
            </w:pPr>
            <w:r w:rsidRPr="0032678C">
              <w:rPr>
                <w:rFonts w:ascii="Candara" w:hAnsi="Candara"/>
                <w:b/>
                <w:bCs/>
                <w:color w:val="365F91"/>
                <w:u w:val="single"/>
              </w:rPr>
              <w:t>Suivi- évaluation/capitalisation/</w:t>
            </w:r>
            <w:r w:rsidR="0032678C" w:rsidRPr="0032678C">
              <w:rPr>
                <w:rFonts w:ascii="Candara" w:hAnsi="Candara"/>
                <w:b/>
                <w:bCs/>
                <w:color w:val="365F91"/>
                <w:u w:val="single"/>
              </w:rPr>
              <w:t>Développement :</w:t>
            </w:r>
          </w:p>
          <w:p w:rsidR="00540FD7" w:rsidRDefault="00AA3D04" w:rsidP="0032678C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</w:rPr>
            </w:pPr>
            <w:r w:rsidRPr="00540FD7">
              <w:rPr>
                <w:rFonts w:ascii="Candara" w:hAnsi="Candara"/>
                <w:b/>
                <w:bCs/>
                <w:color w:val="365F91"/>
                <w:u w:val="single"/>
              </w:rPr>
              <w:t>Responsabilité 4</w:t>
            </w:r>
            <w:r w:rsidRPr="0032678C">
              <w:rPr>
                <w:rFonts w:ascii="Candara" w:hAnsi="Candara"/>
                <w:b/>
                <w:bCs/>
                <w:color w:val="365F91"/>
              </w:rPr>
              <w:t> :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 xml:space="preserve"> suivi-évaluation/capitalisation : le coordinateur e</w:t>
            </w:r>
            <w:r w:rsidR="00F03FB0">
              <w:rPr>
                <w:rFonts w:ascii="Candara" w:hAnsi="Candara"/>
                <w:b/>
                <w:bCs/>
                <w:color w:val="365F91"/>
              </w:rPr>
              <w:t>s</w:t>
            </w:r>
            <w:r w:rsidR="0032678C" w:rsidRPr="0032678C">
              <w:rPr>
                <w:rFonts w:ascii="Candara" w:hAnsi="Candara"/>
                <w:b/>
                <w:bCs/>
                <w:color w:val="365F91"/>
              </w:rPr>
              <w:t xml:space="preserve">t responsable du suivi </w:t>
            </w:r>
            <w:r w:rsidR="00540FD7">
              <w:rPr>
                <w:rFonts w:ascii="Candara" w:hAnsi="Candara"/>
                <w:b/>
                <w:bCs/>
                <w:color w:val="365F91"/>
              </w:rPr>
              <w:t>évaluation de son (ses) projet(s) ;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 xml:space="preserve"> Sous la supervision de la cheffe de projet</w:t>
            </w:r>
            <w:r w:rsidR="00540FD7">
              <w:rPr>
                <w:rFonts w:ascii="Candara" w:hAnsi="Candara"/>
                <w:b/>
                <w:bCs/>
                <w:color w:val="365F91"/>
              </w:rPr>
              <w:t xml:space="preserve">, il participe activement à la collecte des </w:t>
            </w:r>
            <w:r w:rsidR="00AE6F3E">
              <w:rPr>
                <w:rFonts w:ascii="Candara" w:hAnsi="Candara"/>
                <w:b/>
                <w:bCs/>
                <w:color w:val="365F91"/>
              </w:rPr>
              <w:t>informations</w:t>
            </w:r>
            <w:r w:rsidR="00540FD7">
              <w:rPr>
                <w:rFonts w:ascii="Candara" w:hAnsi="Candara"/>
                <w:b/>
                <w:bCs/>
                <w:color w:val="365F91"/>
              </w:rPr>
              <w:t xml:space="preserve"> permettant des savoir-faire et à la production des outils de communication («histoires vécues »,</w:t>
            </w:r>
            <w:r w:rsidR="00AE6F3E">
              <w:rPr>
                <w:rFonts w:ascii="Candara" w:hAnsi="Candara"/>
                <w:b/>
                <w:bCs/>
                <w:color w:val="365F91"/>
              </w:rPr>
              <w:t xml:space="preserve"> reportages, ct</w:t>
            </w:r>
            <w:r w:rsidR="00540FD7">
              <w:rPr>
                <w:rFonts w:ascii="Candara" w:hAnsi="Candara"/>
                <w:b/>
                <w:bCs/>
                <w:color w:val="365F91"/>
              </w:rPr>
              <w:t>)</w:t>
            </w:r>
          </w:p>
          <w:p w:rsidR="00AA3D04" w:rsidRPr="00711205" w:rsidRDefault="00540FD7" w:rsidP="00711205">
            <w:pPr>
              <w:overflowPunct w:val="0"/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color w:val="365F91"/>
              </w:rPr>
            </w:pPr>
            <w:r w:rsidRPr="00F03FB0">
              <w:rPr>
                <w:rFonts w:ascii="Candara" w:hAnsi="Candara"/>
                <w:b/>
                <w:bCs/>
                <w:color w:val="365F91"/>
                <w:u w:val="single"/>
              </w:rPr>
              <w:t>Responsabilité 5 :</w:t>
            </w:r>
            <w:r>
              <w:rPr>
                <w:rFonts w:ascii="Candara" w:hAnsi="Candara"/>
                <w:b/>
                <w:bCs/>
                <w:color w:val="365F91"/>
              </w:rPr>
              <w:t xml:space="preserve"> Elaboration 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de nouveaux projets : le coordi</w:t>
            </w:r>
            <w:r>
              <w:rPr>
                <w:rFonts w:ascii="Candara" w:hAnsi="Candara"/>
                <w:b/>
                <w:bCs/>
                <w:color w:val="365F91"/>
              </w:rPr>
              <w:t xml:space="preserve">nateur </w:t>
            </w:r>
            <w:r>
              <w:rPr>
                <w:rFonts w:ascii="Candara" w:hAnsi="Candara"/>
                <w:b/>
                <w:bCs/>
                <w:color w:val="365F91"/>
              </w:rPr>
              <w:lastRenderedPageBreak/>
              <w:t xml:space="preserve">sera amené à participer </w:t>
            </w:r>
            <w:r w:rsidR="00E068F1">
              <w:rPr>
                <w:rFonts w:ascii="Candara" w:hAnsi="Candara"/>
                <w:b/>
                <w:bCs/>
                <w:color w:val="365F91"/>
              </w:rPr>
              <w:t xml:space="preserve">aux </w:t>
            </w:r>
            <w:r w:rsidR="00AE6F3E">
              <w:rPr>
                <w:rFonts w:ascii="Candara" w:hAnsi="Candara"/>
                <w:b/>
                <w:bCs/>
                <w:color w:val="365F91"/>
              </w:rPr>
              <w:t>côtés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 xml:space="preserve"> de la cheffe de projet </w:t>
            </w:r>
            <w:r w:rsidR="00E068F1">
              <w:rPr>
                <w:rFonts w:ascii="Candara" w:hAnsi="Candara"/>
                <w:b/>
                <w:bCs/>
                <w:color w:val="365F91"/>
              </w:rPr>
              <w:t xml:space="preserve">aux phases 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 xml:space="preserve">d’évaluation </w:t>
            </w:r>
            <w:r w:rsidR="00E068F1">
              <w:rPr>
                <w:rFonts w:ascii="Candara" w:hAnsi="Candara"/>
                <w:b/>
                <w:bCs/>
                <w:color w:val="365F91"/>
              </w:rPr>
              <w:t>projet. Il assurera notamment la collecte d’information sur le terrain et leur analyse.</w:t>
            </w:r>
          </w:p>
        </w:tc>
      </w:tr>
      <w:tr w:rsidR="00AE6F3E" w:rsidTr="002A3C97">
        <w:trPr>
          <w:trHeight w:val="497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AE6F3E" w:rsidRDefault="00AE6F3E" w:rsidP="002A3C97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  <w:lang w:eastAsia="en-US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lastRenderedPageBreak/>
              <w:t>interactions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  <w:hideMark/>
          </w:tcPr>
          <w:p w:rsidR="00AE6F3E" w:rsidRDefault="00AE6F3E" w:rsidP="002A3C97">
            <w:p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  <w:u w:val="single"/>
              </w:rPr>
            </w:pPr>
            <w:r w:rsidRPr="00AE6F3E">
              <w:rPr>
                <w:rFonts w:ascii="Candara" w:hAnsi="Candara"/>
                <w:b/>
                <w:bCs/>
                <w:color w:val="365F91"/>
                <w:u w:val="single"/>
              </w:rPr>
              <w:t>Relations et Interfaces :</w:t>
            </w:r>
          </w:p>
          <w:p w:rsidR="00AE6F3E" w:rsidRDefault="00AE6F3E" w:rsidP="002A3C97">
            <w:p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</w:rPr>
            </w:pPr>
            <w:r w:rsidRPr="00AE6F3E">
              <w:rPr>
                <w:rFonts w:ascii="Candara" w:hAnsi="Candara"/>
                <w:b/>
                <w:bCs/>
                <w:color w:val="365F91"/>
              </w:rPr>
              <w:t>En</w:t>
            </w:r>
            <w:r>
              <w:rPr>
                <w:rFonts w:ascii="Candara" w:hAnsi="Candara"/>
                <w:b/>
                <w:bCs/>
                <w:color w:val="365F91"/>
              </w:rPr>
              <w:t xml:space="preserve"> interne, le poste est en interface avec :</w:t>
            </w:r>
          </w:p>
          <w:p w:rsidR="00AE6F3E" w:rsidRPr="00064919" w:rsidRDefault="00711205" w:rsidP="00711205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La cheffe de projet</w:t>
            </w:r>
            <w:r w:rsidR="00AE6F3E" w:rsidRPr="00064919">
              <w:rPr>
                <w:rFonts w:ascii="Candara" w:hAnsi="Candara"/>
                <w:b/>
                <w:bCs/>
                <w:color w:val="365F91"/>
              </w:rPr>
              <w:t xml:space="preserve">, qui est son </w:t>
            </w:r>
            <w:r w:rsidR="00064919" w:rsidRPr="00064919">
              <w:rPr>
                <w:rFonts w:ascii="Candara" w:hAnsi="Candara"/>
                <w:b/>
                <w:bCs/>
                <w:color w:val="365F91"/>
              </w:rPr>
              <w:t>supérieur</w:t>
            </w:r>
            <w:r>
              <w:rPr>
                <w:rFonts w:ascii="Candara" w:hAnsi="Candara"/>
                <w:b/>
                <w:bCs/>
                <w:color w:val="365F91"/>
              </w:rPr>
              <w:t xml:space="preserve"> </w:t>
            </w:r>
            <w:r w:rsidR="00064919" w:rsidRPr="00064919">
              <w:rPr>
                <w:rFonts w:ascii="Candara" w:hAnsi="Candara"/>
                <w:b/>
                <w:bCs/>
                <w:color w:val="365F91"/>
              </w:rPr>
              <w:t>hiérarchique</w:t>
            </w:r>
            <w:r w:rsidR="00AE6F3E" w:rsidRPr="00064919">
              <w:rPr>
                <w:rFonts w:ascii="Candara" w:hAnsi="Candara"/>
                <w:b/>
                <w:bCs/>
                <w:color w:val="365F91"/>
              </w:rPr>
              <w:t xml:space="preserve"> direct </w:t>
            </w:r>
          </w:p>
          <w:p w:rsidR="00AE6F3E" w:rsidRPr="00064919" w:rsidRDefault="00AE6F3E" w:rsidP="00064919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</w:rPr>
            </w:pPr>
            <w:r w:rsidRPr="00064919">
              <w:rPr>
                <w:rFonts w:ascii="Candara" w:hAnsi="Candara"/>
                <w:b/>
                <w:bCs/>
                <w:color w:val="365F91"/>
              </w:rPr>
              <w:t xml:space="preserve">Avec les membres  du  Département Administratif et </w:t>
            </w:r>
            <w:r w:rsidR="00064919" w:rsidRPr="00064919">
              <w:rPr>
                <w:rFonts w:ascii="Candara" w:hAnsi="Candara"/>
                <w:b/>
                <w:bCs/>
                <w:color w:val="365F91"/>
              </w:rPr>
              <w:t>Financier,</w:t>
            </w:r>
            <w:r w:rsidRPr="00064919">
              <w:rPr>
                <w:rFonts w:ascii="Candara" w:hAnsi="Candara"/>
                <w:b/>
                <w:bCs/>
                <w:color w:val="365F91"/>
              </w:rPr>
              <w:t xml:space="preserve"> dans le cadre de ses obligations de gestion financière et contractuelle du p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rojet sous la supervision de la cheffe de projet</w:t>
            </w:r>
            <w:r w:rsidRPr="00064919">
              <w:rPr>
                <w:rFonts w:ascii="Candara" w:hAnsi="Candara"/>
                <w:b/>
                <w:bCs/>
                <w:color w:val="365F91"/>
              </w:rPr>
              <w:t xml:space="preserve"> </w:t>
            </w:r>
          </w:p>
          <w:p w:rsidR="00AE6F3E" w:rsidRDefault="00AE6F3E" w:rsidP="00AE6F3E">
            <w:p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>En externe, le poste est en interface avec :</w:t>
            </w:r>
          </w:p>
          <w:p w:rsidR="00AE6F3E" w:rsidRDefault="00AE6F3E" w:rsidP="00711205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</w:rPr>
            </w:pPr>
            <w:r w:rsidRPr="00064919">
              <w:rPr>
                <w:rFonts w:ascii="Candara" w:hAnsi="Candara"/>
                <w:b/>
                <w:bCs/>
                <w:color w:val="365F91"/>
              </w:rPr>
              <w:t xml:space="preserve">Les </w:t>
            </w:r>
            <w:r w:rsidR="00064919" w:rsidRPr="00064919">
              <w:rPr>
                <w:rFonts w:ascii="Candara" w:hAnsi="Candara"/>
                <w:b/>
                <w:bCs/>
                <w:color w:val="365F91"/>
              </w:rPr>
              <w:t xml:space="preserve">partenaires  </w:t>
            </w:r>
            <w:r w:rsidR="00711205">
              <w:rPr>
                <w:rFonts w:ascii="Candara" w:hAnsi="Candara"/>
                <w:b/>
                <w:bCs/>
                <w:color w:val="365F91"/>
              </w:rPr>
              <w:t>institutionnels</w:t>
            </w:r>
            <w:r w:rsidR="00064919" w:rsidRPr="00064919">
              <w:rPr>
                <w:rFonts w:ascii="Candara" w:hAnsi="Candara"/>
                <w:b/>
                <w:bCs/>
                <w:color w:val="365F91"/>
              </w:rPr>
              <w:t xml:space="preserve"> des projets  </w:t>
            </w:r>
          </w:p>
          <w:p w:rsidR="00711205" w:rsidRPr="00064919" w:rsidRDefault="00711205" w:rsidP="00711205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overflowPunct w:val="0"/>
              <w:autoSpaceDE w:val="0"/>
              <w:autoSpaceDN w:val="0"/>
              <w:adjustRightInd w:val="0"/>
              <w:ind w:right="-284"/>
              <w:rPr>
                <w:rFonts w:ascii="Candara" w:hAnsi="Candara"/>
                <w:b/>
                <w:bCs/>
                <w:color w:val="365F91"/>
              </w:rPr>
            </w:pPr>
            <w:r>
              <w:rPr>
                <w:rFonts w:ascii="Candara" w:hAnsi="Candara"/>
                <w:b/>
                <w:bCs/>
                <w:color w:val="365F91"/>
              </w:rPr>
              <w:t xml:space="preserve">La cible </w:t>
            </w:r>
          </w:p>
        </w:tc>
      </w:tr>
      <w:tr w:rsidR="00711205" w:rsidTr="002A3C97">
        <w:trPr>
          <w:trHeight w:val="497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:rsidR="00711205" w:rsidRDefault="00711205" w:rsidP="002A3C97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</w:rPr>
            </w:pPr>
            <w:r w:rsidRPr="00711205">
              <w:rPr>
                <w:rFonts w:ascii="Candara" w:hAnsi="Candara"/>
                <w:b/>
                <w:bCs/>
                <w:color w:val="365F91"/>
              </w:rPr>
              <w:t>Qualités requises</w:t>
            </w: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11205" w:rsidRPr="00711205" w:rsidRDefault="00711205" w:rsidP="0071120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Fibre associative 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Très bon relationnel et capacité de persuasion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Fortes capacités d’assimilation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Capacités à planifier et prioriser / très bon sens de l’organisation / respect des délais de mise en œuvre 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Organiser et prioriser son travail en fonction des enjeux, du contexte, du délai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Fort niveau d’engagement et grandes capacités de travail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Maîtriser les techniques de communication orales et écrites.</w:t>
            </w:r>
          </w:p>
          <w:p w:rsidR="00711205" w:rsidRPr="00711205" w:rsidRDefault="00711205" w:rsidP="00F03FB0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Aisance avec les outils informatiques </w:t>
            </w:r>
          </w:p>
          <w:p w:rsidR="00711205" w:rsidRPr="00711205" w:rsidRDefault="00711205" w:rsidP="00711205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Adapter ses explications aux divers interlocuteurs</w:t>
            </w:r>
          </w:p>
          <w:p w:rsidR="00711205" w:rsidRDefault="00711205" w:rsidP="00F03FB0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711205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Travailler en équipe et s’adapter aux différents profils et pratiques des membres de l’équipe support et autres équipes pôles</w:t>
            </w:r>
          </w:p>
          <w:p w:rsidR="00984E32" w:rsidRPr="00F03FB0" w:rsidRDefault="00984E32" w:rsidP="00F03FB0">
            <w:pPr>
              <w:numPr>
                <w:ilvl w:val="0"/>
                <w:numId w:val="5"/>
              </w:numPr>
              <w:spacing w:after="0"/>
              <w:contextualSpacing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Une bonne connaissance des acteurs économiques de la ville Laayoune. </w:t>
            </w:r>
          </w:p>
        </w:tc>
      </w:tr>
      <w:tr w:rsidR="00335161" w:rsidTr="002A3C97">
        <w:trPr>
          <w:trHeight w:val="497"/>
        </w:trPr>
        <w:tc>
          <w:tcPr>
            <w:tcW w:w="40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</w:tcPr>
          <w:p w:rsidR="00335161" w:rsidRPr="00711205" w:rsidRDefault="00335161" w:rsidP="002A3C97">
            <w:pPr>
              <w:overflowPunct w:val="0"/>
              <w:autoSpaceDE w:val="0"/>
              <w:autoSpaceDN w:val="0"/>
              <w:adjustRightInd w:val="0"/>
              <w:spacing w:before="120" w:after="120" w:line="280" w:lineRule="exact"/>
              <w:rPr>
                <w:rFonts w:ascii="Candara" w:hAnsi="Candara"/>
                <w:b/>
                <w:bCs/>
                <w:color w:val="365F91"/>
              </w:rPr>
            </w:pPr>
          </w:p>
        </w:tc>
        <w:tc>
          <w:tcPr>
            <w:tcW w:w="698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335161" w:rsidRDefault="00335161" w:rsidP="00335161">
            <w:pPr>
              <w:spacing w:after="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Envoyer vos candidatures à l’adresse mail :</w:t>
            </w:r>
          </w:p>
          <w:p w:rsidR="00335161" w:rsidRPr="00335161" w:rsidRDefault="00335161" w:rsidP="00335161">
            <w:pPr>
              <w:spacing w:after="0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hyperlink r:id="rId8" w:history="1">
              <w:r w:rsidRPr="001D3CB8">
                <w:rPr>
                  <w:rStyle w:val="Hyperlink"/>
                  <w:rFonts w:ascii="Calibri" w:eastAsia="Calibri" w:hAnsi="Calibri" w:cs="Arial"/>
                  <w:sz w:val="24"/>
                  <w:szCs w:val="24"/>
                  <w:lang w:eastAsia="en-US"/>
                </w:rPr>
                <w:t>c.aziz@aljisr.ma</w:t>
              </w:r>
            </w:hyperlink>
            <w:r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711205" w:rsidRDefault="00711205" w:rsidP="00711205">
      <w:pPr>
        <w:spacing w:after="0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</w:p>
    <w:p w:rsidR="0028670C" w:rsidRDefault="0028670C"/>
    <w:sectPr w:rsidR="0028670C" w:rsidSect="0004562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B2" w:rsidRDefault="00F47AB2" w:rsidP="00AE6F3E">
      <w:pPr>
        <w:spacing w:after="0" w:line="240" w:lineRule="auto"/>
      </w:pPr>
      <w:r>
        <w:separator/>
      </w:r>
    </w:p>
  </w:endnote>
  <w:endnote w:type="continuationSeparator" w:id="0">
    <w:p w:rsidR="00F47AB2" w:rsidRDefault="00F47AB2" w:rsidP="00AE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B2" w:rsidRDefault="00F47AB2" w:rsidP="00AE6F3E">
      <w:pPr>
        <w:spacing w:after="0" w:line="240" w:lineRule="auto"/>
      </w:pPr>
      <w:r>
        <w:separator/>
      </w:r>
    </w:p>
  </w:footnote>
  <w:footnote w:type="continuationSeparator" w:id="0">
    <w:p w:rsidR="00F47AB2" w:rsidRDefault="00F47AB2" w:rsidP="00AE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E" w:rsidRDefault="00711205">
    <w:pPr>
      <w:pStyle w:val="Header"/>
    </w:pPr>
    <w:r w:rsidRPr="00711205">
      <w:rPr>
        <w:rFonts w:ascii="Calibri" w:eastAsia="Calibri" w:hAnsi="Calibri" w:cs="Arial"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1500" cy="559009"/>
          <wp:effectExtent l="0" t="0" r="0" b="0"/>
          <wp:wrapSquare wrapText="bothSides"/>
          <wp:docPr id="2" name="Image 2" descr="C:\Users\Al Jisr\Desktop\communication\logos\logo-aljisr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 Jisr\Desktop\communication\logos\logo-aljisr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9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7AB"/>
    <w:multiLevelType w:val="hybridMultilevel"/>
    <w:tmpl w:val="5C7E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889"/>
    <w:multiLevelType w:val="hybridMultilevel"/>
    <w:tmpl w:val="71FE90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00C27"/>
    <w:multiLevelType w:val="hybridMultilevel"/>
    <w:tmpl w:val="B34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F10"/>
    <w:multiLevelType w:val="hybridMultilevel"/>
    <w:tmpl w:val="4CC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2E18"/>
    <w:multiLevelType w:val="hybridMultilevel"/>
    <w:tmpl w:val="9E42E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B1E"/>
    <w:rsid w:val="00045624"/>
    <w:rsid w:val="00064919"/>
    <w:rsid w:val="0028670C"/>
    <w:rsid w:val="0032678C"/>
    <w:rsid w:val="00335161"/>
    <w:rsid w:val="00540FD7"/>
    <w:rsid w:val="00711205"/>
    <w:rsid w:val="0083388F"/>
    <w:rsid w:val="008C1E27"/>
    <w:rsid w:val="009743E1"/>
    <w:rsid w:val="00984E32"/>
    <w:rsid w:val="00AA3D04"/>
    <w:rsid w:val="00AE6F3E"/>
    <w:rsid w:val="00CD08CC"/>
    <w:rsid w:val="00CE30D8"/>
    <w:rsid w:val="00CF3B1E"/>
    <w:rsid w:val="00E068F1"/>
    <w:rsid w:val="00F03FB0"/>
    <w:rsid w:val="00F47AB2"/>
    <w:rsid w:val="00FB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BC568-8804-4C7A-900F-122A5D6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3E"/>
  </w:style>
  <w:style w:type="paragraph" w:styleId="Footer">
    <w:name w:val="footer"/>
    <w:basedOn w:val="Normal"/>
    <w:link w:val="FooterChar"/>
    <w:uiPriority w:val="99"/>
    <w:unhideWhenUsed/>
    <w:rsid w:val="00AE6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F3E"/>
  </w:style>
  <w:style w:type="paragraph" w:styleId="ListParagraph">
    <w:name w:val="List Paragraph"/>
    <w:basedOn w:val="Normal"/>
    <w:uiPriority w:val="34"/>
    <w:qFormat/>
    <w:rsid w:val="0006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ziz@aljisr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A700-F8F5-4623-93A1-1036CE22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Roussy</dc:creator>
  <cp:lastModifiedBy>al jisr</cp:lastModifiedBy>
  <cp:revision>5</cp:revision>
  <dcterms:created xsi:type="dcterms:W3CDTF">2023-04-07T12:47:00Z</dcterms:created>
  <dcterms:modified xsi:type="dcterms:W3CDTF">2023-04-07T13:35:00Z</dcterms:modified>
</cp:coreProperties>
</file>