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78806" w14:textId="77777777" w:rsidR="00C04CCC" w:rsidRPr="00C04CCC" w:rsidRDefault="00C04CCC" w:rsidP="00C04CCC">
      <w:pPr>
        <w:jc w:val="center"/>
        <w:rPr>
          <w:sz w:val="21"/>
          <w:szCs w:val="21"/>
          <w:lang w:val="fr-FR"/>
        </w:rPr>
      </w:pPr>
      <w:r w:rsidRPr="00C04CCC">
        <w:rPr>
          <w:noProof/>
          <w:sz w:val="21"/>
          <w:szCs w:val="21"/>
          <w:lang w:val="fr-FR"/>
        </w:rPr>
        <w:drawing>
          <wp:inline distT="0" distB="0" distL="0" distR="0" wp14:anchorId="5C3CFFD5" wp14:editId="2B2F6FA3">
            <wp:extent cx="1451872" cy="772771"/>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4819" cy="784985"/>
                    </a:xfrm>
                    <a:prstGeom prst="rect">
                      <a:avLst/>
                    </a:prstGeom>
                  </pic:spPr>
                </pic:pic>
              </a:graphicData>
            </a:graphic>
          </wp:inline>
        </w:drawing>
      </w:r>
    </w:p>
    <w:p w14:paraId="720A04A6" w14:textId="77777777" w:rsidR="00C04CCC" w:rsidRPr="00C04CCC" w:rsidRDefault="00C04CCC" w:rsidP="00C04CCC">
      <w:pPr>
        <w:pStyle w:val="Corpsdetexte"/>
        <w:rPr>
          <w:rFonts w:ascii="Times New Roman"/>
          <w:sz w:val="18"/>
          <w:szCs w:val="21"/>
          <w:lang w:val="fr-FR"/>
        </w:rPr>
      </w:pPr>
    </w:p>
    <w:p w14:paraId="05615689" w14:textId="77777777" w:rsidR="00C04CCC" w:rsidRPr="00C04CCC" w:rsidRDefault="00C04CCC" w:rsidP="00C04CCC">
      <w:pPr>
        <w:pStyle w:val="Titre1"/>
        <w:spacing w:before="173"/>
        <w:rPr>
          <w:sz w:val="22"/>
          <w:szCs w:val="22"/>
          <w:lang w:val="fr-FR"/>
        </w:rPr>
      </w:pPr>
      <w:r w:rsidRPr="00C04CCC">
        <w:rPr>
          <w:sz w:val="22"/>
          <w:szCs w:val="22"/>
          <w:lang w:val="fr-FR"/>
        </w:rPr>
        <w:t xml:space="preserve">ITPC-MENA </w:t>
      </w:r>
    </w:p>
    <w:p w14:paraId="2314CBBC" w14:textId="3FC8E9E5" w:rsidR="00C04CCC" w:rsidRPr="00C04CCC" w:rsidRDefault="00C04CCC" w:rsidP="00C04CCC">
      <w:pPr>
        <w:pStyle w:val="Titre1"/>
        <w:spacing w:before="173"/>
        <w:rPr>
          <w:sz w:val="22"/>
          <w:szCs w:val="22"/>
          <w:lang w:val="fr-FR"/>
        </w:rPr>
      </w:pPr>
      <w:r w:rsidRPr="00C04CCC">
        <w:rPr>
          <w:sz w:val="22"/>
          <w:szCs w:val="22"/>
          <w:lang w:val="fr-FR"/>
        </w:rPr>
        <w:t>Appel à Consultant.e pour développer un guide sur le traitement à VIH (et pathologies connexes) pour les PVVIH et les communautés</w:t>
      </w:r>
    </w:p>
    <w:p w14:paraId="6FD8BB65" w14:textId="77777777" w:rsidR="00C04CCC" w:rsidRPr="00C04CCC" w:rsidRDefault="00C04CCC" w:rsidP="00C04CCC">
      <w:pPr>
        <w:pStyle w:val="Titre1"/>
        <w:rPr>
          <w:sz w:val="22"/>
          <w:szCs w:val="22"/>
          <w:lang w:val="fr-FR"/>
        </w:rPr>
      </w:pPr>
      <w:r w:rsidRPr="00C04CCC">
        <w:rPr>
          <w:sz w:val="22"/>
          <w:szCs w:val="22"/>
          <w:lang w:val="fr-FR"/>
        </w:rPr>
        <w:t>Termes de référence (TDR)</w:t>
      </w:r>
    </w:p>
    <w:p w14:paraId="689A0933" w14:textId="77777777" w:rsidR="00C04CCC" w:rsidRPr="00C04CCC" w:rsidRDefault="00C04CCC" w:rsidP="00C04CCC">
      <w:pPr>
        <w:pStyle w:val="Corpsdetexte"/>
        <w:rPr>
          <w:b/>
          <w:sz w:val="21"/>
          <w:szCs w:val="21"/>
          <w:lang w:val="fr-FR"/>
        </w:rPr>
      </w:pPr>
    </w:p>
    <w:p w14:paraId="785FDEF0" w14:textId="6F405981" w:rsidR="00C04CCC" w:rsidRPr="00C04CCC" w:rsidRDefault="00C04CCC" w:rsidP="00C04CCC">
      <w:pPr>
        <w:pStyle w:val="Titre2"/>
        <w:numPr>
          <w:ilvl w:val="0"/>
          <w:numId w:val="1"/>
        </w:numPr>
        <w:tabs>
          <w:tab w:val="left" w:pos="341"/>
        </w:tabs>
        <w:spacing w:before="1"/>
        <w:ind w:hanging="221"/>
        <w:rPr>
          <w:sz w:val="21"/>
          <w:szCs w:val="21"/>
          <w:lang w:val="fr-FR"/>
        </w:rPr>
      </w:pPr>
      <w:r w:rsidRPr="00C04CCC">
        <w:rPr>
          <w:sz w:val="21"/>
          <w:szCs w:val="21"/>
          <w:lang w:val="fr-FR"/>
        </w:rPr>
        <w:t xml:space="preserve">Introduction et contexte : </w:t>
      </w:r>
    </w:p>
    <w:p w14:paraId="10F88F3B" w14:textId="77777777" w:rsidR="00C04CCC" w:rsidRPr="00C04CCC" w:rsidRDefault="00C04CCC" w:rsidP="00C04CCC">
      <w:pPr>
        <w:pStyle w:val="Corpsdetexte"/>
        <w:spacing w:before="11"/>
        <w:rPr>
          <w:b/>
          <w:sz w:val="20"/>
          <w:szCs w:val="21"/>
          <w:lang w:val="fr-FR"/>
        </w:rPr>
      </w:pPr>
    </w:p>
    <w:p w14:paraId="2A9B8F98" w14:textId="77777777" w:rsidR="00C04CCC" w:rsidRPr="00C04CCC" w:rsidRDefault="00C04CCC" w:rsidP="00C04CCC">
      <w:pPr>
        <w:jc w:val="both"/>
        <w:rPr>
          <w:rFonts w:eastAsia="Work Sans"/>
          <w:color w:val="000000" w:themeColor="text1"/>
          <w:sz w:val="21"/>
          <w:szCs w:val="21"/>
          <w:lang w:val="fr-FR" w:eastAsia="fr-FR"/>
        </w:rPr>
      </w:pPr>
      <w:r w:rsidRPr="00C04CCC">
        <w:rPr>
          <w:rFonts w:eastAsia="Work Sans"/>
          <w:color w:val="000000" w:themeColor="text1"/>
          <w:sz w:val="21"/>
          <w:szCs w:val="21"/>
          <w:lang w:val="fr-FR" w:eastAsia="fr-FR"/>
        </w:rPr>
        <w:t>L’Association pour l’accès au traitement, ci-après dénommée « ITPC-MENA », est une organisation non gouvernementale. Elle fut créée le 14 Février 2015, et a pour objectif de permettre un accès optimal au traitement, du VIH, en qualité et en quantité suffisante à toutes les personnes qui en ont besoin.</w:t>
      </w:r>
    </w:p>
    <w:p w14:paraId="2CE086CC" w14:textId="77777777" w:rsidR="00C04CCC" w:rsidRPr="00C04CCC" w:rsidRDefault="00C04CCC" w:rsidP="00C04CCC">
      <w:pPr>
        <w:jc w:val="both"/>
        <w:rPr>
          <w:rFonts w:eastAsia="Work Sans"/>
          <w:color w:val="000000" w:themeColor="text1"/>
          <w:sz w:val="21"/>
          <w:szCs w:val="21"/>
          <w:lang w:val="fr-FR" w:eastAsia="fr-FR"/>
        </w:rPr>
      </w:pPr>
    </w:p>
    <w:p w14:paraId="3CA00C03" w14:textId="77777777" w:rsidR="00C04CCC" w:rsidRPr="00C04CCC" w:rsidRDefault="00C04CCC" w:rsidP="00C04CCC">
      <w:pPr>
        <w:jc w:val="both"/>
        <w:rPr>
          <w:rFonts w:eastAsia="Work Sans"/>
          <w:color w:val="000000" w:themeColor="text1"/>
          <w:sz w:val="21"/>
          <w:szCs w:val="21"/>
          <w:lang w:val="fr-FR" w:eastAsia="fr-FR"/>
        </w:rPr>
      </w:pPr>
      <w:r w:rsidRPr="00C04CCC">
        <w:rPr>
          <w:rFonts w:eastAsia="Work Sans"/>
          <w:color w:val="000000" w:themeColor="text1"/>
          <w:sz w:val="21"/>
          <w:szCs w:val="21"/>
          <w:lang w:val="fr-FR" w:eastAsia="fr-FR"/>
        </w:rPr>
        <w:t>Les principales fonctions et mandats d’ITPC-MENA sont basés sur des efforts spécifiques en vue de renforcer l’accès aux médicaments dans les pays de la région MENA. En tant que réseau régional de militants communautaires constitué de personnes vivant avec le VIH et de leurs défenseurs, qui œuvrent ensemble pour l’accès universel au traitement du VIH et des comorbidités qui y sont associées (hépatites virales, tuberculose, etc.).</w:t>
      </w:r>
    </w:p>
    <w:p w14:paraId="62F9A901" w14:textId="77777777" w:rsidR="00C04CCC" w:rsidRPr="00C04CCC" w:rsidRDefault="00C04CCC" w:rsidP="00C04CCC">
      <w:pPr>
        <w:pStyle w:val="Corpsdetexte"/>
        <w:ind w:right="154"/>
        <w:jc w:val="both"/>
        <w:rPr>
          <w:sz w:val="21"/>
          <w:szCs w:val="21"/>
          <w:lang w:val="fr-FR"/>
        </w:rPr>
      </w:pPr>
    </w:p>
    <w:p w14:paraId="1ED56401" w14:textId="57A62AFF" w:rsidR="00C04CCC" w:rsidRPr="00C04CCC" w:rsidRDefault="00C04CCC" w:rsidP="00C04CCC">
      <w:pPr>
        <w:pStyle w:val="Corpsdetexte"/>
        <w:ind w:right="154"/>
        <w:jc w:val="both"/>
        <w:rPr>
          <w:sz w:val="21"/>
          <w:szCs w:val="21"/>
          <w:lang w:val="fr-FR"/>
        </w:rPr>
      </w:pPr>
      <w:r w:rsidRPr="00C04CCC">
        <w:rPr>
          <w:sz w:val="21"/>
          <w:szCs w:val="21"/>
          <w:lang w:val="fr-FR"/>
        </w:rPr>
        <w:t xml:space="preserve">ITPC-MENA met également l'accent sur le renforcement de la capacité de plaidoyer des militants communautaires et sur la fourniture d'un certain nombre de formations sur l’éducation au traitement, le leadership communautaire et la création de nouvelles dynamiques de populations clés qui défendent le droit à l’accès aux médicaments et par conséquent le droit à la santé. </w:t>
      </w:r>
    </w:p>
    <w:p w14:paraId="7B6A4FA1" w14:textId="77777777" w:rsidR="00C04CCC" w:rsidRPr="00C04CCC" w:rsidRDefault="00C04CCC" w:rsidP="00C04CCC">
      <w:pPr>
        <w:pStyle w:val="Corpsdetexte"/>
        <w:spacing w:before="11"/>
        <w:rPr>
          <w:sz w:val="20"/>
          <w:szCs w:val="21"/>
          <w:lang w:val="fr-FR"/>
        </w:rPr>
      </w:pPr>
    </w:p>
    <w:p w14:paraId="387DC874" w14:textId="7EF89D29" w:rsidR="00C04CCC" w:rsidRPr="00C04CCC" w:rsidRDefault="00C04CCC" w:rsidP="00C04CCC">
      <w:pPr>
        <w:pStyle w:val="Corpsdetexte"/>
        <w:spacing w:line="268" w:lineRule="exact"/>
        <w:jc w:val="both"/>
        <w:rPr>
          <w:sz w:val="21"/>
          <w:szCs w:val="21"/>
          <w:lang w:val="fr-FR"/>
        </w:rPr>
      </w:pPr>
      <w:r w:rsidRPr="00C04CCC">
        <w:rPr>
          <w:sz w:val="21"/>
          <w:szCs w:val="21"/>
          <w:lang w:val="fr-FR"/>
        </w:rPr>
        <w:t>ITPC-MENA veille et veillera à ce que toutes les informations pertinentes relatives aux traitement et gestion de l’infection à VIH/Sida soient disponibles et en langue arabe afin de continuer à défendre les droits des PVVIH et des communautés les plus vulnérables à l’infection à VIH à l’accès à l’information et au droit à la santé.</w:t>
      </w:r>
    </w:p>
    <w:p w14:paraId="4C7FD272" w14:textId="77777777" w:rsidR="00C04CCC" w:rsidRPr="00C04CCC" w:rsidRDefault="00C04CCC" w:rsidP="00C04CCC">
      <w:pPr>
        <w:pStyle w:val="Corpsdetexte"/>
        <w:spacing w:before="4"/>
        <w:rPr>
          <w:sz w:val="21"/>
          <w:szCs w:val="21"/>
          <w:lang w:val="fr-FR"/>
        </w:rPr>
      </w:pPr>
    </w:p>
    <w:p w14:paraId="5EB9441E" w14:textId="28CA44F5"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 xml:space="preserve">Objectif : </w:t>
      </w:r>
    </w:p>
    <w:p w14:paraId="04771189" w14:textId="77777777" w:rsidR="00C04CCC" w:rsidRPr="00C04CCC" w:rsidRDefault="00C04CCC" w:rsidP="00C04CCC">
      <w:pPr>
        <w:pStyle w:val="Corpsdetexte"/>
        <w:spacing w:before="11"/>
        <w:rPr>
          <w:b/>
          <w:sz w:val="20"/>
          <w:szCs w:val="21"/>
          <w:lang w:val="fr-FR"/>
        </w:rPr>
      </w:pPr>
    </w:p>
    <w:p w14:paraId="66E8780E" w14:textId="77777777" w:rsidR="00C04CCC" w:rsidRPr="00C04CCC" w:rsidRDefault="00C04CCC" w:rsidP="00C04CCC">
      <w:pPr>
        <w:pStyle w:val="Corpsdetexte"/>
        <w:ind w:left="120"/>
        <w:rPr>
          <w:sz w:val="21"/>
          <w:szCs w:val="21"/>
          <w:lang w:val="fr-FR"/>
        </w:rPr>
      </w:pPr>
      <w:r w:rsidRPr="00C04CCC">
        <w:rPr>
          <w:sz w:val="21"/>
          <w:szCs w:val="21"/>
          <w:lang w:val="fr-FR"/>
        </w:rPr>
        <w:t>Le but de cette consultation est de développer un guide sur l’éducation au traitement à VIH (et sur les pathologies connexes) en langue arabe et que service aussi du guide de formation pour les animateurs/formateurs PVVIH et ceux et celles qui font partie des communautés.</w:t>
      </w:r>
    </w:p>
    <w:p w14:paraId="7F528F44" w14:textId="77777777" w:rsidR="00C04CCC" w:rsidRPr="00C04CCC" w:rsidRDefault="00C04CCC" w:rsidP="00C04CCC">
      <w:pPr>
        <w:pStyle w:val="Corpsdetexte"/>
        <w:spacing w:before="10"/>
        <w:rPr>
          <w:sz w:val="20"/>
          <w:szCs w:val="21"/>
          <w:lang w:val="fr-FR"/>
        </w:rPr>
      </w:pPr>
    </w:p>
    <w:p w14:paraId="1D4F3045" w14:textId="6E284CAE" w:rsidR="00C04CCC" w:rsidRPr="00C04CCC" w:rsidRDefault="00C04CCC" w:rsidP="00C04CCC">
      <w:pPr>
        <w:pStyle w:val="Titre2"/>
        <w:numPr>
          <w:ilvl w:val="0"/>
          <w:numId w:val="1"/>
        </w:numPr>
        <w:tabs>
          <w:tab w:val="left" w:pos="341"/>
        </w:tabs>
        <w:ind w:hanging="221"/>
        <w:jc w:val="both"/>
        <w:rPr>
          <w:sz w:val="21"/>
          <w:szCs w:val="21"/>
          <w:lang w:val="fr-FR"/>
        </w:rPr>
      </w:pPr>
      <w:r w:rsidRPr="00C04CCC">
        <w:rPr>
          <w:sz w:val="21"/>
          <w:szCs w:val="21"/>
          <w:lang w:val="fr-FR"/>
        </w:rPr>
        <w:t xml:space="preserve">Résultats attendus et livrables : </w:t>
      </w:r>
    </w:p>
    <w:p w14:paraId="01FB979E" w14:textId="453FD2B1" w:rsidR="00C04CCC" w:rsidRPr="00C04CCC" w:rsidRDefault="00C04CCC" w:rsidP="00C04CCC">
      <w:pPr>
        <w:pStyle w:val="Paragraphedeliste"/>
        <w:numPr>
          <w:ilvl w:val="1"/>
          <w:numId w:val="1"/>
        </w:numPr>
        <w:tabs>
          <w:tab w:val="left" w:pos="841"/>
        </w:tabs>
        <w:spacing w:before="4"/>
        <w:ind w:right="158"/>
        <w:jc w:val="both"/>
        <w:rPr>
          <w:sz w:val="21"/>
          <w:szCs w:val="21"/>
          <w:lang w:val="fr-FR"/>
        </w:rPr>
      </w:pPr>
      <w:r w:rsidRPr="00C04CCC">
        <w:rPr>
          <w:sz w:val="21"/>
          <w:szCs w:val="21"/>
          <w:lang w:val="fr-FR"/>
        </w:rPr>
        <w:t>Avant le début des travaux, le.la consultant.e est tenu.e de soumettre une proposition finale comprenant la méthodologie, le plan de travail et le budget, à ITPC-MENA.</w:t>
      </w:r>
    </w:p>
    <w:p w14:paraId="2BF445FE" w14:textId="77777777" w:rsidR="00C04CCC" w:rsidRPr="00C04CCC" w:rsidRDefault="00C04CCC" w:rsidP="00C04CCC">
      <w:pPr>
        <w:pStyle w:val="Paragraphedeliste"/>
        <w:numPr>
          <w:ilvl w:val="1"/>
          <w:numId w:val="1"/>
        </w:numPr>
        <w:tabs>
          <w:tab w:val="left" w:pos="841"/>
        </w:tabs>
        <w:ind w:right="158"/>
        <w:jc w:val="both"/>
        <w:rPr>
          <w:sz w:val="21"/>
          <w:szCs w:val="21"/>
          <w:lang w:val="fr-FR"/>
        </w:rPr>
      </w:pPr>
      <w:r w:rsidRPr="00C04CCC">
        <w:rPr>
          <w:sz w:val="21"/>
          <w:szCs w:val="21"/>
          <w:lang w:val="fr-FR"/>
        </w:rPr>
        <w:t>Un guide sur le traitement à VIH (et sur les pathologies connexes) en langue arabe sera élaboré. Cela constituera aussi un manuel de formation autour du VIH/sida (et sur les pathologies connexes) pour toutes les organisations et populations infectées et affectées par le VIH/sida. Le guide contiendra des messages clés, des guidelines et d'autres outils à diffuser aux PVVIH et aux communautés.</w:t>
      </w:r>
    </w:p>
    <w:p w14:paraId="552DE097" w14:textId="77777777" w:rsidR="00C04CCC" w:rsidRPr="00C04CCC" w:rsidRDefault="00C04CCC" w:rsidP="00C04CCC">
      <w:pPr>
        <w:pStyle w:val="Paragraphedeliste"/>
        <w:tabs>
          <w:tab w:val="left" w:pos="841"/>
        </w:tabs>
        <w:ind w:left="840" w:right="158" w:firstLine="0"/>
        <w:jc w:val="both"/>
        <w:rPr>
          <w:sz w:val="21"/>
          <w:szCs w:val="21"/>
          <w:lang w:val="fr-FR"/>
        </w:rPr>
      </w:pPr>
    </w:p>
    <w:p w14:paraId="5C0DDDFD" w14:textId="3C82B8D4" w:rsidR="00C04CCC" w:rsidRPr="00C04CCC" w:rsidRDefault="00C04CCC" w:rsidP="00C04CCC">
      <w:pPr>
        <w:pStyle w:val="Titre2"/>
        <w:numPr>
          <w:ilvl w:val="0"/>
          <w:numId w:val="1"/>
        </w:numPr>
        <w:tabs>
          <w:tab w:val="left" w:pos="341"/>
        </w:tabs>
        <w:spacing w:line="268" w:lineRule="exact"/>
        <w:ind w:hanging="221"/>
        <w:jc w:val="both"/>
        <w:rPr>
          <w:sz w:val="21"/>
          <w:szCs w:val="21"/>
          <w:lang w:val="fr-FR"/>
        </w:rPr>
      </w:pPr>
      <w:r w:rsidRPr="00C04CCC">
        <w:rPr>
          <w:sz w:val="21"/>
          <w:szCs w:val="21"/>
          <w:lang w:val="fr-FR"/>
        </w:rPr>
        <w:t xml:space="preserve">Méthodes et activités : </w:t>
      </w:r>
    </w:p>
    <w:p w14:paraId="1B0A2AA6" w14:textId="631D7648" w:rsidR="00C04CCC" w:rsidRPr="00C04CCC" w:rsidRDefault="00C04CCC" w:rsidP="00C04CCC">
      <w:pPr>
        <w:pStyle w:val="Corpsdetexte"/>
        <w:spacing w:line="268" w:lineRule="exact"/>
        <w:ind w:left="120"/>
        <w:rPr>
          <w:sz w:val="21"/>
          <w:szCs w:val="21"/>
          <w:lang w:val="fr-FR"/>
        </w:rPr>
      </w:pPr>
      <w:r w:rsidRPr="00C04CCC">
        <w:rPr>
          <w:sz w:val="21"/>
          <w:szCs w:val="21"/>
          <w:lang w:val="fr-FR"/>
        </w:rPr>
        <w:t xml:space="preserve">Le.la consultant. </w:t>
      </w:r>
      <w:proofErr w:type="gramStart"/>
      <w:r w:rsidRPr="00C04CCC">
        <w:rPr>
          <w:sz w:val="21"/>
          <w:szCs w:val="21"/>
          <w:lang w:val="fr-FR"/>
        </w:rPr>
        <w:t>e</w:t>
      </w:r>
      <w:proofErr w:type="gramEnd"/>
      <w:r w:rsidRPr="00C04CCC">
        <w:rPr>
          <w:sz w:val="21"/>
          <w:szCs w:val="21"/>
          <w:lang w:val="fr-FR"/>
        </w:rPr>
        <w:t xml:space="preserve"> fournira à ITPC-MENA les éléments suivants :</w:t>
      </w:r>
    </w:p>
    <w:p w14:paraId="7012DFD1" w14:textId="77777777" w:rsidR="00C04CCC" w:rsidRPr="00C04CCC" w:rsidRDefault="00C04CCC" w:rsidP="00C04CCC">
      <w:pPr>
        <w:pStyle w:val="Paragraphedeliste"/>
        <w:numPr>
          <w:ilvl w:val="1"/>
          <w:numId w:val="1"/>
        </w:numPr>
        <w:tabs>
          <w:tab w:val="left" w:pos="841"/>
        </w:tabs>
        <w:spacing w:line="280" w:lineRule="exact"/>
        <w:ind w:hanging="269"/>
        <w:rPr>
          <w:sz w:val="21"/>
          <w:szCs w:val="21"/>
          <w:lang w:val="fr-FR"/>
        </w:rPr>
      </w:pPr>
      <w:r w:rsidRPr="00C04CCC">
        <w:rPr>
          <w:sz w:val="21"/>
          <w:szCs w:val="21"/>
          <w:lang w:val="fr-FR"/>
        </w:rPr>
        <w:t>Élaborer un guide sur le traitement à VIH (et sur les pathologies connexes) en langue arabe (un guide PVVIH &amp; communautaire Friendly).</w:t>
      </w:r>
    </w:p>
    <w:p w14:paraId="1F215A00" w14:textId="77777777" w:rsidR="00C04CCC" w:rsidRPr="00C04CCC" w:rsidRDefault="00C04CCC" w:rsidP="00C04CCC">
      <w:pPr>
        <w:pStyle w:val="Paragraphedeliste"/>
        <w:numPr>
          <w:ilvl w:val="1"/>
          <w:numId w:val="1"/>
        </w:numPr>
        <w:tabs>
          <w:tab w:val="left" w:pos="841"/>
        </w:tabs>
        <w:spacing w:line="280" w:lineRule="exact"/>
        <w:ind w:hanging="269"/>
        <w:rPr>
          <w:sz w:val="21"/>
          <w:szCs w:val="21"/>
          <w:lang w:val="fr-FR"/>
        </w:rPr>
      </w:pPr>
      <w:r w:rsidRPr="00C04CCC">
        <w:rPr>
          <w:sz w:val="21"/>
          <w:szCs w:val="21"/>
          <w:lang w:val="fr-FR"/>
        </w:rPr>
        <w:t>Fournir une formation à certains membres du personnel de ITPC-MENA sur la façon d'utiliser le guide.</w:t>
      </w:r>
    </w:p>
    <w:p w14:paraId="5D867C41" w14:textId="77777777" w:rsidR="00C04CCC" w:rsidRPr="00C04CCC" w:rsidRDefault="00C04CCC" w:rsidP="00C04CCC">
      <w:pPr>
        <w:pStyle w:val="Paragraphedeliste"/>
        <w:numPr>
          <w:ilvl w:val="1"/>
          <w:numId w:val="1"/>
        </w:numPr>
        <w:tabs>
          <w:tab w:val="left" w:pos="841"/>
        </w:tabs>
        <w:spacing w:line="280" w:lineRule="exact"/>
        <w:ind w:hanging="269"/>
        <w:rPr>
          <w:sz w:val="21"/>
          <w:szCs w:val="21"/>
          <w:lang w:val="fr-FR"/>
        </w:rPr>
      </w:pPr>
      <w:r w:rsidRPr="00C04CCC">
        <w:rPr>
          <w:sz w:val="21"/>
          <w:szCs w:val="21"/>
          <w:lang w:val="fr-FR"/>
        </w:rPr>
        <w:t>Recevoir les commentaires de la direction des programmes ITPC-MENA.</w:t>
      </w:r>
    </w:p>
    <w:p w14:paraId="0B59A3AE" w14:textId="77777777" w:rsidR="00C04CCC" w:rsidRPr="00C04CCC" w:rsidRDefault="00C04CCC" w:rsidP="00C04CCC">
      <w:pPr>
        <w:pStyle w:val="Paragraphedeliste"/>
        <w:numPr>
          <w:ilvl w:val="1"/>
          <w:numId w:val="1"/>
        </w:numPr>
        <w:tabs>
          <w:tab w:val="left" w:pos="841"/>
        </w:tabs>
        <w:ind w:hanging="269"/>
        <w:rPr>
          <w:sz w:val="21"/>
          <w:szCs w:val="21"/>
          <w:lang w:val="fr-FR"/>
        </w:rPr>
      </w:pPr>
      <w:r w:rsidRPr="00C04CCC">
        <w:rPr>
          <w:sz w:val="21"/>
          <w:szCs w:val="21"/>
          <w:lang w:val="fr-FR"/>
        </w:rPr>
        <w:t>Soumettre un rapport final sur les travaux entrepris pour le développement du guide.</w:t>
      </w:r>
    </w:p>
    <w:p w14:paraId="4920FD79" w14:textId="4C1971E0" w:rsidR="00C04CCC" w:rsidRPr="00C04CCC" w:rsidRDefault="00C04CCC" w:rsidP="00C04CCC">
      <w:pPr>
        <w:pStyle w:val="Paragraphedeliste"/>
        <w:numPr>
          <w:ilvl w:val="1"/>
          <w:numId w:val="1"/>
        </w:numPr>
        <w:tabs>
          <w:tab w:val="left" w:pos="841"/>
        </w:tabs>
        <w:ind w:hanging="269"/>
        <w:rPr>
          <w:sz w:val="21"/>
          <w:szCs w:val="21"/>
          <w:lang w:val="fr-FR"/>
        </w:rPr>
      </w:pPr>
      <w:r w:rsidRPr="00C04CCC">
        <w:rPr>
          <w:sz w:val="21"/>
          <w:szCs w:val="21"/>
          <w:lang w:val="fr-FR"/>
        </w:rPr>
        <w:t xml:space="preserve">Une présentation PowerPoint ne dépassant pas les 15 diapositives </w:t>
      </w:r>
    </w:p>
    <w:p w14:paraId="4DD6D2ED" w14:textId="77777777" w:rsidR="00C04CCC" w:rsidRPr="00C04CCC" w:rsidRDefault="00C04CCC" w:rsidP="00C04CCC">
      <w:pPr>
        <w:pStyle w:val="Titre2"/>
        <w:numPr>
          <w:ilvl w:val="0"/>
          <w:numId w:val="1"/>
        </w:numPr>
        <w:tabs>
          <w:tab w:val="left" w:pos="341"/>
        </w:tabs>
        <w:spacing w:before="39"/>
        <w:ind w:hanging="221"/>
        <w:rPr>
          <w:sz w:val="21"/>
          <w:szCs w:val="21"/>
          <w:lang w:val="fr-FR"/>
        </w:rPr>
      </w:pPr>
      <w:r w:rsidRPr="00C04CCC">
        <w:rPr>
          <w:sz w:val="21"/>
          <w:szCs w:val="21"/>
          <w:lang w:val="fr-FR"/>
        </w:rPr>
        <w:lastRenderedPageBreak/>
        <w:t>Équipe de soutien de ITPC-MENA</w:t>
      </w:r>
    </w:p>
    <w:p w14:paraId="4566A324" w14:textId="77777777" w:rsidR="00C04CCC" w:rsidRPr="00C04CCC" w:rsidRDefault="00C04CCC" w:rsidP="00C04CCC">
      <w:pPr>
        <w:pStyle w:val="Corpsdetexte"/>
        <w:spacing w:before="11"/>
        <w:rPr>
          <w:b/>
          <w:sz w:val="20"/>
          <w:szCs w:val="21"/>
          <w:lang w:val="fr-FR"/>
        </w:rPr>
      </w:pPr>
    </w:p>
    <w:p w14:paraId="3C1DF650" w14:textId="5D30E471" w:rsidR="00C04CCC" w:rsidRPr="00C04CCC" w:rsidRDefault="00C04CCC" w:rsidP="00C04CCC">
      <w:pPr>
        <w:pStyle w:val="Corpsdetexte"/>
        <w:spacing w:line="242" w:lineRule="auto"/>
        <w:ind w:left="120" w:right="156"/>
        <w:jc w:val="both"/>
        <w:rPr>
          <w:sz w:val="21"/>
          <w:szCs w:val="21"/>
          <w:lang w:val="fr-FR"/>
        </w:rPr>
      </w:pPr>
      <w:r w:rsidRPr="00C04CCC">
        <w:rPr>
          <w:sz w:val="21"/>
          <w:szCs w:val="21"/>
          <w:lang w:val="fr-FR"/>
        </w:rPr>
        <w:t xml:space="preserve">Le.la consultant.e travaillera en étroite collaboration avec le chargé de programme, le responsable administratif et financier, le directeur des programmes et les autres chargés de projet et toute personne concernée pour faciliter cette consultation. Vous trouverez une des dernières versions du guide thérapeutique sur le lien suivant : </w:t>
      </w:r>
      <w:hyperlink r:id="rId6" w:history="1">
        <w:r w:rsidRPr="00C04CCC">
          <w:rPr>
            <w:rStyle w:val="Lienhypertexte"/>
            <w:sz w:val="21"/>
            <w:szCs w:val="21"/>
            <w:lang w:val="fr-FR"/>
          </w:rPr>
          <w:t>https://itpcmena.org/guides-de-traitement/</w:t>
        </w:r>
      </w:hyperlink>
    </w:p>
    <w:p w14:paraId="659107D7" w14:textId="77777777" w:rsidR="00C04CCC" w:rsidRPr="00C04CCC" w:rsidRDefault="00C04CCC" w:rsidP="00C04CCC">
      <w:pPr>
        <w:pStyle w:val="Corpsdetexte"/>
        <w:spacing w:line="242" w:lineRule="auto"/>
        <w:ind w:left="120" w:right="156"/>
        <w:jc w:val="both"/>
        <w:rPr>
          <w:sz w:val="21"/>
          <w:szCs w:val="21"/>
          <w:lang w:val="fr-FR"/>
        </w:rPr>
      </w:pPr>
    </w:p>
    <w:p w14:paraId="647F2205" w14:textId="06966AB7"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Durée et lieu de travail</w:t>
      </w:r>
      <w:r>
        <w:rPr>
          <w:sz w:val="21"/>
          <w:szCs w:val="21"/>
          <w:lang w:val="fr-FR"/>
        </w:rPr>
        <w:t xml:space="preserve"> </w:t>
      </w:r>
      <w:r w:rsidRPr="00C04CCC">
        <w:rPr>
          <w:sz w:val="21"/>
          <w:szCs w:val="21"/>
          <w:lang w:val="fr-FR"/>
        </w:rPr>
        <w:t xml:space="preserve">: </w:t>
      </w:r>
    </w:p>
    <w:p w14:paraId="7C48F42D" w14:textId="77777777" w:rsidR="00C04CCC" w:rsidRPr="00C04CCC" w:rsidRDefault="00C04CCC" w:rsidP="00C04CCC">
      <w:pPr>
        <w:pStyle w:val="Corpsdetexte"/>
        <w:spacing w:before="11"/>
        <w:rPr>
          <w:b/>
          <w:sz w:val="20"/>
          <w:szCs w:val="21"/>
          <w:lang w:val="fr-FR"/>
        </w:rPr>
      </w:pPr>
    </w:p>
    <w:p w14:paraId="15CC64CD" w14:textId="77777777" w:rsidR="00C04CCC" w:rsidRPr="00C04CCC" w:rsidRDefault="00C04CCC" w:rsidP="00C04CCC">
      <w:pPr>
        <w:pStyle w:val="Corpsdetexte"/>
        <w:spacing w:before="1"/>
        <w:ind w:left="120" w:right="163"/>
        <w:jc w:val="both"/>
        <w:rPr>
          <w:sz w:val="21"/>
          <w:szCs w:val="21"/>
          <w:lang w:val="fr-FR"/>
        </w:rPr>
      </w:pPr>
      <w:r w:rsidRPr="00C04CCC">
        <w:rPr>
          <w:sz w:val="21"/>
          <w:szCs w:val="21"/>
          <w:lang w:val="fr-FR"/>
        </w:rPr>
        <w:t xml:space="preserve">Cette consultation commencera dès que possible </w:t>
      </w:r>
      <w:r w:rsidRPr="00C04CCC">
        <w:rPr>
          <w:color w:val="212121"/>
          <w:sz w:val="21"/>
          <w:szCs w:val="21"/>
          <w:lang w:val="fr-FR"/>
        </w:rPr>
        <w:t>et la durée du contrat sera de 10 jours à compter de la date de début.</w:t>
      </w:r>
    </w:p>
    <w:p w14:paraId="5D43C917" w14:textId="77777777" w:rsidR="00C04CCC" w:rsidRPr="00C04CCC" w:rsidRDefault="00C04CCC" w:rsidP="00C04CCC">
      <w:pPr>
        <w:pStyle w:val="Corpsdetexte"/>
        <w:spacing w:before="2"/>
        <w:rPr>
          <w:sz w:val="21"/>
          <w:szCs w:val="21"/>
          <w:lang w:val="fr-FR"/>
        </w:rPr>
      </w:pPr>
    </w:p>
    <w:p w14:paraId="0C864F2D" w14:textId="45B25A94"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 xml:space="preserve">Frais de consultation : </w:t>
      </w:r>
    </w:p>
    <w:p w14:paraId="17982055" w14:textId="77777777" w:rsidR="00C04CCC" w:rsidRPr="00C04CCC" w:rsidRDefault="00C04CCC" w:rsidP="00C04CCC">
      <w:pPr>
        <w:pStyle w:val="Corpsdetexte"/>
        <w:spacing w:before="11"/>
        <w:rPr>
          <w:b/>
          <w:sz w:val="21"/>
          <w:szCs w:val="21"/>
          <w:lang w:val="fr-FR"/>
        </w:rPr>
      </w:pPr>
    </w:p>
    <w:p w14:paraId="421D0C15" w14:textId="77777777" w:rsidR="00C04CCC" w:rsidRPr="00C04CCC" w:rsidRDefault="00C04CCC" w:rsidP="00C04CCC">
      <w:pPr>
        <w:pStyle w:val="Corpsdetexte"/>
        <w:ind w:left="120"/>
        <w:jc w:val="both"/>
        <w:rPr>
          <w:sz w:val="21"/>
          <w:szCs w:val="21"/>
          <w:lang w:val="fr-FR"/>
        </w:rPr>
      </w:pPr>
      <w:r w:rsidRPr="00C04CCC">
        <w:rPr>
          <w:color w:val="212121"/>
          <w:sz w:val="21"/>
          <w:szCs w:val="21"/>
          <w:lang w:val="fr-FR"/>
        </w:rPr>
        <w:t xml:space="preserve">Cette consultation sera rémunérée à un tarif compétitif et sur la base de procédures d’ITPC-MENA. </w:t>
      </w:r>
    </w:p>
    <w:p w14:paraId="6F656C19" w14:textId="77777777" w:rsidR="00C04CCC" w:rsidRPr="00C04CCC" w:rsidRDefault="00C04CCC" w:rsidP="00C04CCC">
      <w:pPr>
        <w:pStyle w:val="Corpsdetexte"/>
        <w:spacing w:before="11"/>
        <w:rPr>
          <w:sz w:val="21"/>
          <w:szCs w:val="21"/>
          <w:lang w:val="fr-FR"/>
        </w:rPr>
      </w:pPr>
    </w:p>
    <w:p w14:paraId="20F0FF8F" w14:textId="77777777"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Qualifications requises du consultant</w:t>
      </w:r>
    </w:p>
    <w:p w14:paraId="5888C9D2" w14:textId="77777777" w:rsidR="00C04CCC" w:rsidRPr="00C04CCC" w:rsidRDefault="00C04CCC" w:rsidP="00C04CCC">
      <w:pPr>
        <w:pStyle w:val="Corpsdetexte"/>
        <w:spacing w:before="172"/>
        <w:ind w:left="120"/>
        <w:jc w:val="both"/>
        <w:rPr>
          <w:sz w:val="21"/>
          <w:szCs w:val="21"/>
          <w:lang w:val="fr-FR"/>
        </w:rPr>
      </w:pPr>
      <w:r w:rsidRPr="00C04CCC">
        <w:rPr>
          <w:sz w:val="21"/>
          <w:szCs w:val="21"/>
          <w:lang w:val="fr-FR"/>
        </w:rPr>
        <w:t>ITPC-MENA recherche un.e consultant.e avec les qualifications suivantes :</w:t>
      </w:r>
    </w:p>
    <w:p w14:paraId="12B351F6" w14:textId="77777777" w:rsidR="00C04CCC" w:rsidRPr="00C04CCC" w:rsidRDefault="00C04CCC" w:rsidP="00C04CCC">
      <w:pPr>
        <w:pStyle w:val="Corpsdetexte"/>
        <w:spacing w:before="11"/>
        <w:rPr>
          <w:sz w:val="20"/>
          <w:szCs w:val="21"/>
          <w:lang w:val="fr-FR"/>
        </w:rPr>
      </w:pPr>
    </w:p>
    <w:p w14:paraId="045C0796" w14:textId="77777777" w:rsidR="00C04CCC" w:rsidRPr="00C04CCC" w:rsidRDefault="00C04CCC" w:rsidP="00C04CCC">
      <w:pPr>
        <w:pStyle w:val="Paragraphedeliste"/>
        <w:numPr>
          <w:ilvl w:val="1"/>
          <w:numId w:val="1"/>
        </w:numPr>
        <w:tabs>
          <w:tab w:val="left" w:pos="973"/>
        </w:tabs>
        <w:ind w:left="972" w:right="158" w:hanging="284"/>
        <w:rPr>
          <w:sz w:val="21"/>
          <w:szCs w:val="21"/>
          <w:lang w:val="fr-FR"/>
        </w:rPr>
      </w:pPr>
      <w:r w:rsidRPr="00C04CCC">
        <w:rPr>
          <w:sz w:val="21"/>
          <w:szCs w:val="21"/>
          <w:lang w:val="fr-FR"/>
        </w:rPr>
        <w:t xml:space="preserve">Connaissance approfondie et expérience professionnelle concrète des IST, de l’infection à VIH et de l’éducation au traitement à VIH. </w:t>
      </w:r>
    </w:p>
    <w:p w14:paraId="599BC854" w14:textId="77777777" w:rsidR="00C04CCC" w:rsidRPr="00C04CCC" w:rsidRDefault="00C04CCC" w:rsidP="00C04CCC">
      <w:pPr>
        <w:pStyle w:val="Paragraphedeliste"/>
        <w:numPr>
          <w:ilvl w:val="1"/>
          <w:numId w:val="1"/>
        </w:numPr>
        <w:tabs>
          <w:tab w:val="left" w:pos="973"/>
        </w:tabs>
        <w:ind w:left="972" w:right="156" w:hanging="284"/>
        <w:rPr>
          <w:sz w:val="21"/>
          <w:szCs w:val="21"/>
          <w:lang w:val="fr-FR"/>
        </w:rPr>
      </w:pPr>
      <w:r w:rsidRPr="00C04CCC">
        <w:rPr>
          <w:sz w:val="21"/>
          <w:szCs w:val="21"/>
          <w:lang w:val="fr-FR"/>
        </w:rPr>
        <w:t>Expérience dans la fourniture de services de conseil en organisation sur les sujets mentionnés par ITPC-MENA ci-dessus.</w:t>
      </w:r>
    </w:p>
    <w:p w14:paraId="48611941" w14:textId="77777777" w:rsidR="00C04CCC" w:rsidRPr="00C04CCC" w:rsidRDefault="00C04CCC" w:rsidP="00C04CCC">
      <w:pPr>
        <w:pStyle w:val="Paragraphedeliste"/>
        <w:numPr>
          <w:ilvl w:val="1"/>
          <w:numId w:val="1"/>
        </w:numPr>
        <w:tabs>
          <w:tab w:val="left" w:pos="973"/>
        </w:tabs>
        <w:spacing w:before="2"/>
        <w:ind w:left="972" w:hanging="285"/>
        <w:rPr>
          <w:sz w:val="21"/>
          <w:szCs w:val="21"/>
          <w:lang w:val="fr-FR"/>
        </w:rPr>
      </w:pPr>
      <w:r w:rsidRPr="00C04CCC">
        <w:rPr>
          <w:sz w:val="21"/>
          <w:szCs w:val="21"/>
          <w:lang w:val="fr-FR"/>
        </w:rPr>
        <w:t>Cinq ans d'expérience dans l'animation et l’accompagnement des PVVIH</w:t>
      </w:r>
    </w:p>
    <w:p w14:paraId="5012AB2E" w14:textId="77777777" w:rsidR="00C04CCC" w:rsidRPr="00C04CCC" w:rsidRDefault="00C04CCC" w:rsidP="00C04CCC">
      <w:pPr>
        <w:pStyle w:val="Paragraphedeliste"/>
        <w:numPr>
          <w:ilvl w:val="1"/>
          <w:numId w:val="1"/>
        </w:numPr>
        <w:tabs>
          <w:tab w:val="left" w:pos="973"/>
        </w:tabs>
        <w:spacing w:line="280" w:lineRule="exact"/>
        <w:ind w:left="972" w:hanging="285"/>
        <w:rPr>
          <w:sz w:val="21"/>
          <w:szCs w:val="21"/>
          <w:lang w:val="fr-FR"/>
        </w:rPr>
      </w:pPr>
      <w:r w:rsidRPr="00C04CCC">
        <w:rPr>
          <w:sz w:val="21"/>
          <w:szCs w:val="21"/>
          <w:lang w:val="fr-FR"/>
        </w:rPr>
        <w:t>Travail en équipe et efficacité.</w:t>
      </w:r>
    </w:p>
    <w:p w14:paraId="773DD202" w14:textId="77777777" w:rsidR="00C04CCC" w:rsidRPr="00C04CCC" w:rsidRDefault="00C04CCC" w:rsidP="00C04CCC">
      <w:pPr>
        <w:pStyle w:val="Paragraphedeliste"/>
        <w:numPr>
          <w:ilvl w:val="1"/>
          <w:numId w:val="1"/>
        </w:numPr>
        <w:tabs>
          <w:tab w:val="left" w:pos="973"/>
        </w:tabs>
        <w:spacing w:line="280" w:lineRule="exact"/>
        <w:ind w:left="972" w:hanging="285"/>
        <w:rPr>
          <w:sz w:val="21"/>
          <w:szCs w:val="21"/>
          <w:lang w:val="fr-FR"/>
        </w:rPr>
      </w:pPr>
      <w:r w:rsidRPr="00C04CCC">
        <w:rPr>
          <w:sz w:val="21"/>
          <w:szCs w:val="21"/>
          <w:lang w:val="fr-FR"/>
        </w:rPr>
        <w:t>Bonnes compétences en communication.</w:t>
      </w:r>
    </w:p>
    <w:p w14:paraId="19AE8FD0" w14:textId="372E2C4A" w:rsidR="00C04CCC" w:rsidRPr="00C04CCC" w:rsidRDefault="00C04CCC" w:rsidP="00C04CCC">
      <w:pPr>
        <w:pStyle w:val="Paragraphedeliste"/>
        <w:numPr>
          <w:ilvl w:val="1"/>
          <w:numId w:val="1"/>
        </w:numPr>
        <w:tabs>
          <w:tab w:val="left" w:pos="973"/>
        </w:tabs>
        <w:ind w:left="972" w:hanging="285"/>
        <w:rPr>
          <w:sz w:val="21"/>
          <w:szCs w:val="21"/>
          <w:lang w:val="fr-FR"/>
        </w:rPr>
      </w:pPr>
      <w:r w:rsidRPr="00C04CCC">
        <w:rPr>
          <w:color w:val="212121"/>
          <w:sz w:val="21"/>
          <w:szCs w:val="21"/>
          <w:lang w:val="fr-FR"/>
        </w:rPr>
        <w:t>Maitrise de la langue arabe lu et écrit.</w:t>
      </w:r>
    </w:p>
    <w:p w14:paraId="58CFE66B" w14:textId="77777777" w:rsidR="00C04CCC" w:rsidRPr="00C04CCC" w:rsidRDefault="00C04CCC" w:rsidP="00C04CCC">
      <w:pPr>
        <w:pStyle w:val="Corpsdetexte"/>
        <w:spacing w:before="11"/>
        <w:rPr>
          <w:sz w:val="20"/>
          <w:szCs w:val="21"/>
          <w:lang w:val="fr-FR"/>
        </w:rPr>
      </w:pPr>
    </w:p>
    <w:p w14:paraId="3AC77821" w14:textId="6649C597" w:rsidR="00C04CCC" w:rsidRPr="00C04CCC" w:rsidRDefault="00C04CCC" w:rsidP="00C04CCC">
      <w:pPr>
        <w:pStyle w:val="Titre2"/>
        <w:numPr>
          <w:ilvl w:val="0"/>
          <w:numId w:val="1"/>
        </w:numPr>
        <w:tabs>
          <w:tab w:val="left" w:pos="341"/>
        </w:tabs>
        <w:ind w:hanging="221"/>
        <w:rPr>
          <w:sz w:val="21"/>
          <w:szCs w:val="21"/>
          <w:lang w:val="fr-FR"/>
        </w:rPr>
      </w:pPr>
      <w:r w:rsidRPr="00C04CCC">
        <w:rPr>
          <w:sz w:val="21"/>
          <w:szCs w:val="21"/>
          <w:lang w:val="fr-FR"/>
        </w:rPr>
        <w:t xml:space="preserve">Comment s’inscrire : </w:t>
      </w:r>
    </w:p>
    <w:p w14:paraId="11585AFD" w14:textId="77777777" w:rsidR="00C04CCC" w:rsidRPr="00C04CCC" w:rsidRDefault="00C04CCC" w:rsidP="00C04CCC">
      <w:pPr>
        <w:pStyle w:val="Corpsdetexte"/>
        <w:spacing w:before="11"/>
        <w:rPr>
          <w:b/>
          <w:sz w:val="20"/>
          <w:szCs w:val="21"/>
          <w:lang w:val="fr-FR"/>
        </w:rPr>
      </w:pPr>
    </w:p>
    <w:p w14:paraId="05A75CF4" w14:textId="543223FD" w:rsidR="00C04CCC" w:rsidRPr="00C04CCC" w:rsidRDefault="00C04CCC" w:rsidP="00C04CCC">
      <w:pPr>
        <w:pStyle w:val="Corpsdetexte"/>
        <w:spacing w:before="1"/>
        <w:ind w:left="120" w:right="154"/>
        <w:jc w:val="both"/>
        <w:rPr>
          <w:sz w:val="21"/>
          <w:szCs w:val="21"/>
          <w:lang w:val="fr-FR"/>
        </w:rPr>
      </w:pPr>
      <w:r w:rsidRPr="00C04CCC">
        <w:rPr>
          <w:sz w:val="21"/>
          <w:szCs w:val="21"/>
          <w:lang w:val="fr-FR"/>
        </w:rPr>
        <w:t>Les candidats intéressés doivent envoyer leur candidature et leur CV mettant en évidence l'expérience pertinente et une proposition technique, y compris le budget à l'administration de ITPC-MENA par courrier électronique,</w:t>
      </w:r>
      <w:r w:rsidRPr="00C04CCC">
        <w:rPr>
          <w:sz w:val="20"/>
          <w:szCs w:val="20"/>
          <w:lang w:val="fr-FR"/>
        </w:rPr>
        <w:t xml:space="preserve"> </w:t>
      </w:r>
      <w:hyperlink r:id="rId7" w:history="1">
        <w:r w:rsidRPr="00C04CCC">
          <w:rPr>
            <w:rStyle w:val="Lienhypertexte"/>
            <w:sz w:val="20"/>
            <w:szCs w:val="20"/>
            <w:lang w:val="fr-FR"/>
          </w:rPr>
          <w:t>zakaria.bahtout@itpcmena.org</w:t>
        </w:r>
      </w:hyperlink>
      <w:r w:rsidRPr="00C04CCC">
        <w:rPr>
          <w:sz w:val="20"/>
          <w:szCs w:val="20"/>
          <w:lang w:val="fr-FR"/>
        </w:rPr>
        <w:t xml:space="preserve"> </w:t>
      </w:r>
      <w:r w:rsidRPr="00C04CCC">
        <w:rPr>
          <w:sz w:val="21"/>
          <w:szCs w:val="21"/>
          <w:lang w:val="fr-FR"/>
        </w:rPr>
        <w:t xml:space="preserve">et cc </w:t>
      </w:r>
      <w:r>
        <w:rPr>
          <w:sz w:val="21"/>
          <w:szCs w:val="21"/>
          <w:lang w:val="fr-FR"/>
        </w:rPr>
        <w:t>Imad El Oualidi</w:t>
      </w:r>
      <w:r w:rsidRPr="00C04CCC">
        <w:rPr>
          <w:sz w:val="21"/>
          <w:szCs w:val="21"/>
          <w:lang w:val="fr-FR"/>
        </w:rPr>
        <w:t xml:space="preserve">  </w:t>
      </w:r>
      <w:hyperlink r:id="rId8" w:history="1">
        <w:r w:rsidRPr="00C04CCC">
          <w:rPr>
            <w:rStyle w:val="Lienhypertexte"/>
            <w:sz w:val="20"/>
            <w:szCs w:val="20"/>
            <w:lang w:val="fr-FR"/>
          </w:rPr>
          <w:t>imad.eloualidi@itpcmena.org</w:t>
        </w:r>
      </w:hyperlink>
      <w:r>
        <w:rPr>
          <w:rStyle w:val="Lienhypertexte"/>
          <w:sz w:val="20"/>
          <w:szCs w:val="20"/>
          <w:lang w:val="fr-FR"/>
        </w:rPr>
        <w:t xml:space="preserve"> </w:t>
      </w:r>
    </w:p>
    <w:p w14:paraId="00A5A33C" w14:textId="77777777" w:rsidR="00C04CCC" w:rsidRPr="00C04CCC" w:rsidRDefault="00C04CCC" w:rsidP="00C04CCC">
      <w:pPr>
        <w:pStyle w:val="Corpsdetexte"/>
        <w:spacing w:before="7"/>
        <w:rPr>
          <w:sz w:val="16"/>
          <w:szCs w:val="21"/>
          <w:lang w:val="fr-FR"/>
        </w:rPr>
      </w:pPr>
    </w:p>
    <w:p w14:paraId="11A8F296" w14:textId="17A31096" w:rsidR="00C04CCC" w:rsidRPr="002E2EC0" w:rsidRDefault="00C04CCC" w:rsidP="00C04CCC">
      <w:pPr>
        <w:pStyle w:val="Titre2"/>
        <w:spacing w:before="56"/>
        <w:ind w:left="120" w:firstLine="0"/>
        <w:rPr>
          <w:color w:val="FF0000"/>
          <w:sz w:val="28"/>
          <w:szCs w:val="28"/>
          <w:lang w:val="fr-FR"/>
        </w:rPr>
        <w:sectPr w:rsidR="00C04CCC" w:rsidRPr="002E2EC0" w:rsidSect="00C04CCC">
          <w:pgSz w:w="11910" w:h="16840"/>
          <w:pgMar w:top="1000" w:right="1280" w:bottom="280" w:left="1320" w:header="720" w:footer="720" w:gutter="0"/>
          <w:cols w:space="720"/>
        </w:sectPr>
      </w:pPr>
      <w:r w:rsidRPr="002E2EC0">
        <w:rPr>
          <w:color w:val="FF0000"/>
          <w:sz w:val="28"/>
          <w:szCs w:val="28"/>
          <w:highlight w:val="yellow"/>
          <w:lang w:val="fr-FR"/>
        </w:rPr>
        <w:t xml:space="preserve">Date </w:t>
      </w:r>
      <w:bookmarkStart w:id="0" w:name="_GoBack"/>
      <w:bookmarkEnd w:id="0"/>
      <w:r w:rsidRPr="002E2EC0">
        <w:rPr>
          <w:color w:val="FF0000"/>
          <w:sz w:val="28"/>
          <w:szCs w:val="28"/>
          <w:highlight w:val="yellow"/>
          <w:lang w:val="fr-FR"/>
        </w:rPr>
        <w:t xml:space="preserve">limite : </w:t>
      </w:r>
      <w:r w:rsidR="002E2EC0" w:rsidRPr="002E2EC0">
        <w:rPr>
          <w:color w:val="FF0000"/>
          <w:sz w:val="28"/>
          <w:szCs w:val="28"/>
          <w:highlight w:val="yellow"/>
          <w:lang w:val="fr-FR"/>
        </w:rPr>
        <w:t>10 Mai</w:t>
      </w:r>
      <w:r w:rsidRPr="002E2EC0">
        <w:rPr>
          <w:color w:val="FF0000"/>
          <w:sz w:val="28"/>
          <w:szCs w:val="28"/>
          <w:highlight w:val="yellow"/>
          <w:lang w:val="fr-FR"/>
        </w:rPr>
        <w:t xml:space="preserve"> 2023 avant 17h.</w:t>
      </w:r>
    </w:p>
    <w:p w14:paraId="5F398B7B" w14:textId="77777777" w:rsidR="004B4758" w:rsidRPr="00C04CCC" w:rsidRDefault="004B4758">
      <w:pPr>
        <w:rPr>
          <w:lang w:val="fr-FR"/>
        </w:rPr>
      </w:pPr>
    </w:p>
    <w:sectPr w:rsidR="004B4758" w:rsidRPr="00C04CCC">
      <w:pgSz w:w="11910" w:h="16840"/>
      <w:pgMar w:top="1400" w:right="12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panose1 w:val="020B0604020202020204"/>
    <w:charset w:val="4D"/>
    <w:family w:val="auto"/>
    <w:pitch w:val="variable"/>
    <w:sig w:usb0="A00000FF" w:usb1="5000E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B29CA"/>
    <w:multiLevelType w:val="hybridMultilevel"/>
    <w:tmpl w:val="AE9C28EE"/>
    <w:lvl w:ilvl="0" w:tplc="BDCCE2B8">
      <w:start w:val="1"/>
      <w:numFmt w:val="decimal"/>
      <w:lvlText w:val="%1."/>
      <w:lvlJc w:val="left"/>
      <w:pPr>
        <w:ind w:left="340" w:hanging="220"/>
        <w:jc w:val="left"/>
      </w:pPr>
      <w:rPr>
        <w:rFonts w:ascii="Calibri" w:eastAsia="Calibri" w:hAnsi="Calibri" w:cs="Calibri" w:hint="default"/>
        <w:b/>
        <w:bCs/>
        <w:w w:val="100"/>
        <w:sz w:val="22"/>
        <w:szCs w:val="22"/>
        <w:lang w:val="en-US" w:eastAsia="en-US" w:bidi="ar-SA"/>
      </w:rPr>
    </w:lvl>
    <w:lvl w:ilvl="1" w:tplc="3F0AE016">
      <w:numFmt w:val="bullet"/>
      <w:lvlText w:val=""/>
      <w:lvlJc w:val="left"/>
      <w:pPr>
        <w:ind w:left="840" w:hanging="268"/>
      </w:pPr>
      <w:rPr>
        <w:rFonts w:ascii="Symbol" w:eastAsia="Symbol" w:hAnsi="Symbol" w:cs="Symbol" w:hint="default"/>
        <w:w w:val="100"/>
        <w:sz w:val="22"/>
        <w:szCs w:val="22"/>
        <w:lang w:val="en-US" w:eastAsia="en-US" w:bidi="ar-SA"/>
      </w:rPr>
    </w:lvl>
    <w:lvl w:ilvl="2" w:tplc="5344B820">
      <w:numFmt w:val="bullet"/>
      <w:lvlText w:val="•"/>
      <w:lvlJc w:val="left"/>
      <w:pPr>
        <w:ind w:left="980" w:hanging="268"/>
      </w:pPr>
      <w:rPr>
        <w:rFonts w:hint="default"/>
        <w:lang w:val="en-US" w:eastAsia="en-US" w:bidi="ar-SA"/>
      </w:rPr>
    </w:lvl>
    <w:lvl w:ilvl="3" w:tplc="4E3245CE">
      <w:numFmt w:val="bullet"/>
      <w:lvlText w:val="•"/>
      <w:lvlJc w:val="left"/>
      <w:pPr>
        <w:ind w:left="2021" w:hanging="268"/>
      </w:pPr>
      <w:rPr>
        <w:rFonts w:hint="default"/>
        <w:lang w:val="en-US" w:eastAsia="en-US" w:bidi="ar-SA"/>
      </w:rPr>
    </w:lvl>
    <w:lvl w:ilvl="4" w:tplc="869ED4D2">
      <w:numFmt w:val="bullet"/>
      <w:lvlText w:val="•"/>
      <w:lvlJc w:val="left"/>
      <w:pPr>
        <w:ind w:left="3062" w:hanging="268"/>
      </w:pPr>
      <w:rPr>
        <w:rFonts w:hint="default"/>
        <w:lang w:val="en-US" w:eastAsia="en-US" w:bidi="ar-SA"/>
      </w:rPr>
    </w:lvl>
    <w:lvl w:ilvl="5" w:tplc="3B0CA254">
      <w:numFmt w:val="bullet"/>
      <w:lvlText w:val="•"/>
      <w:lvlJc w:val="left"/>
      <w:pPr>
        <w:ind w:left="4103" w:hanging="268"/>
      </w:pPr>
      <w:rPr>
        <w:rFonts w:hint="default"/>
        <w:lang w:val="en-US" w:eastAsia="en-US" w:bidi="ar-SA"/>
      </w:rPr>
    </w:lvl>
    <w:lvl w:ilvl="6" w:tplc="F5822470">
      <w:numFmt w:val="bullet"/>
      <w:lvlText w:val="•"/>
      <w:lvlJc w:val="left"/>
      <w:pPr>
        <w:ind w:left="5144" w:hanging="268"/>
      </w:pPr>
      <w:rPr>
        <w:rFonts w:hint="default"/>
        <w:lang w:val="en-US" w:eastAsia="en-US" w:bidi="ar-SA"/>
      </w:rPr>
    </w:lvl>
    <w:lvl w:ilvl="7" w:tplc="2B5A856C">
      <w:numFmt w:val="bullet"/>
      <w:lvlText w:val="•"/>
      <w:lvlJc w:val="left"/>
      <w:pPr>
        <w:ind w:left="6185" w:hanging="268"/>
      </w:pPr>
      <w:rPr>
        <w:rFonts w:hint="default"/>
        <w:lang w:val="en-US" w:eastAsia="en-US" w:bidi="ar-SA"/>
      </w:rPr>
    </w:lvl>
    <w:lvl w:ilvl="8" w:tplc="FD147FBE">
      <w:numFmt w:val="bullet"/>
      <w:lvlText w:val="•"/>
      <w:lvlJc w:val="left"/>
      <w:pPr>
        <w:ind w:left="7226" w:hanging="2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CC"/>
    <w:rsid w:val="002D79F4"/>
    <w:rsid w:val="002E2EC0"/>
    <w:rsid w:val="004B4758"/>
    <w:rsid w:val="00A51FFB"/>
    <w:rsid w:val="00C04CCC"/>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decimalSymbol w:val=","/>
  <w:listSeparator w:val=","/>
  <w14:docId w14:val="12A16753"/>
  <w15:chartTrackingRefBased/>
  <w15:docId w15:val="{D0EE5353-B0F2-314C-AEB0-FF3E4D32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CCC"/>
    <w:pPr>
      <w:widowControl w:val="0"/>
      <w:autoSpaceDE w:val="0"/>
      <w:autoSpaceDN w:val="0"/>
    </w:pPr>
    <w:rPr>
      <w:rFonts w:ascii="Calibri" w:eastAsia="Calibri" w:hAnsi="Calibri" w:cs="Calibri"/>
      <w:sz w:val="22"/>
      <w:szCs w:val="22"/>
      <w:lang w:val="en-US"/>
    </w:rPr>
  </w:style>
  <w:style w:type="paragraph" w:styleId="Titre1">
    <w:name w:val="heading 1"/>
    <w:basedOn w:val="Normal"/>
    <w:link w:val="Titre1Car"/>
    <w:uiPriority w:val="9"/>
    <w:qFormat/>
    <w:rsid w:val="00C04CCC"/>
    <w:pPr>
      <w:spacing w:line="292" w:lineRule="exact"/>
      <w:ind w:left="504" w:right="540"/>
      <w:jc w:val="center"/>
      <w:outlineLvl w:val="0"/>
    </w:pPr>
    <w:rPr>
      <w:b/>
      <w:bCs/>
      <w:sz w:val="24"/>
      <w:szCs w:val="24"/>
    </w:rPr>
  </w:style>
  <w:style w:type="paragraph" w:styleId="Titre2">
    <w:name w:val="heading 2"/>
    <w:basedOn w:val="Normal"/>
    <w:link w:val="Titre2Car"/>
    <w:uiPriority w:val="9"/>
    <w:unhideWhenUsed/>
    <w:qFormat/>
    <w:rsid w:val="00C04CCC"/>
    <w:pPr>
      <w:ind w:left="340" w:hanging="221"/>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4CCC"/>
    <w:rPr>
      <w:rFonts w:ascii="Calibri" w:eastAsia="Calibri" w:hAnsi="Calibri" w:cs="Calibri"/>
      <w:b/>
      <w:bCs/>
      <w:lang w:val="en-US"/>
    </w:rPr>
  </w:style>
  <w:style w:type="character" w:customStyle="1" w:styleId="Titre2Car">
    <w:name w:val="Titre 2 Car"/>
    <w:basedOn w:val="Policepardfaut"/>
    <w:link w:val="Titre2"/>
    <w:uiPriority w:val="9"/>
    <w:rsid w:val="00C04CCC"/>
    <w:rPr>
      <w:rFonts w:ascii="Calibri" w:eastAsia="Calibri" w:hAnsi="Calibri" w:cs="Calibri"/>
      <w:b/>
      <w:bCs/>
      <w:sz w:val="22"/>
      <w:szCs w:val="22"/>
      <w:lang w:val="en-US"/>
    </w:rPr>
  </w:style>
  <w:style w:type="paragraph" w:styleId="Corpsdetexte">
    <w:name w:val="Body Text"/>
    <w:basedOn w:val="Normal"/>
    <w:link w:val="CorpsdetexteCar"/>
    <w:uiPriority w:val="1"/>
    <w:qFormat/>
    <w:rsid w:val="00C04CCC"/>
  </w:style>
  <w:style w:type="character" w:customStyle="1" w:styleId="CorpsdetexteCar">
    <w:name w:val="Corps de texte Car"/>
    <w:basedOn w:val="Policepardfaut"/>
    <w:link w:val="Corpsdetexte"/>
    <w:uiPriority w:val="1"/>
    <w:rsid w:val="00C04CCC"/>
    <w:rPr>
      <w:rFonts w:ascii="Calibri" w:eastAsia="Calibri" w:hAnsi="Calibri" w:cs="Calibri"/>
      <w:sz w:val="22"/>
      <w:szCs w:val="22"/>
      <w:lang w:val="en-US"/>
    </w:rPr>
  </w:style>
  <w:style w:type="paragraph" w:styleId="Paragraphedeliste">
    <w:name w:val="List Paragraph"/>
    <w:basedOn w:val="Normal"/>
    <w:uiPriority w:val="1"/>
    <w:qFormat/>
    <w:rsid w:val="00C04CCC"/>
    <w:pPr>
      <w:ind w:left="340" w:hanging="221"/>
    </w:pPr>
  </w:style>
  <w:style w:type="character" w:styleId="Lienhypertexte">
    <w:name w:val="Hyperlink"/>
    <w:basedOn w:val="Policepardfaut"/>
    <w:uiPriority w:val="99"/>
    <w:unhideWhenUsed/>
    <w:rsid w:val="00C04CCC"/>
    <w:rPr>
      <w:color w:val="0563C1" w:themeColor="hyperlink"/>
      <w:u w:val="single"/>
    </w:rPr>
  </w:style>
  <w:style w:type="character" w:styleId="Lienhypertextesuivivisit">
    <w:name w:val="FollowedHyperlink"/>
    <w:basedOn w:val="Policepardfaut"/>
    <w:uiPriority w:val="99"/>
    <w:semiHidden/>
    <w:unhideWhenUsed/>
    <w:rsid w:val="00C04CCC"/>
    <w:rPr>
      <w:color w:val="954F72" w:themeColor="followedHyperlink"/>
      <w:u w:val="single"/>
    </w:rPr>
  </w:style>
  <w:style w:type="character" w:styleId="Mentionnonrsolue">
    <w:name w:val="Unresolved Mention"/>
    <w:basedOn w:val="Policepardfaut"/>
    <w:uiPriority w:val="99"/>
    <w:semiHidden/>
    <w:unhideWhenUsed/>
    <w:rsid w:val="00C04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d.eloualidi@itpcmena.org" TargetMode="External"/><Relationship Id="rId3" Type="http://schemas.openxmlformats.org/officeDocument/2006/relationships/settings" Target="settings.xml"/><Relationship Id="rId7" Type="http://schemas.openxmlformats.org/officeDocument/2006/relationships/hyperlink" Target="mailto:zakaria.bahtout@itpcme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pcmena.org/guides-de-traitemen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4096</Characters>
  <Application>Microsoft Office Word</Application>
  <DocSecurity>0</DocSecurity>
  <Lines>34</Lines>
  <Paragraphs>9</Paragraphs>
  <ScaleCrop>false</ScaleCrop>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2023-04-19T16:17:00Z</dcterms:created>
  <dcterms:modified xsi:type="dcterms:W3CDTF">2023-04-20T10:17:00Z</dcterms:modified>
</cp:coreProperties>
</file>