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3F84" w14:textId="1B3524CE" w:rsidR="006213D2" w:rsidRPr="00F652D9" w:rsidRDefault="006213D2" w:rsidP="00182BB5">
      <w:pPr>
        <w:jc w:val="both"/>
      </w:pPr>
    </w:p>
    <w:p w14:paraId="09554AAC" w14:textId="1F9BBB9B" w:rsidR="00BF20C9" w:rsidRPr="00F652D9" w:rsidRDefault="00BF20C9" w:rsidP="00182BB5">
      <w:pPr>
        <w:spacing w:after="0"/>
        <w:jc w:val="center"/>
        <w:rPr>
          <w:rFonts w:cstheme="majorHAnsi"/>
          <w:b/>
          <w:bCs/>
          <w:sz w:val="26"/>
          <w:szCs w:val="26"/>
        </w:rPr>
      </w:pPr>
      <w:r w:rsidRPr="00F652D9">
        <w:rPr>
          <w:rFonts w:cstheme="majorHAnsi"/>
          <w:b/>
          <w:bCs/>
          <w:sz w:val="26"/>
          <w:szCs w:val="26"/>
        </w:rPr>
        <w:t>Projet « INNOVERT – Développement de l’écosystème de l’entreprenariat vert pour les jeunes, femmes et migrants à Tanger, Tétouan et Mdiq-Fnidaq, Maroc »</w:t>
      </w:r>
    </w:p>
    <w:p w14:paraId="3C99E351" w14:textId="091AD05B" w:rsidR="00BF20C9" w:rsidRPr="00F652D9" w:rsidRDefault="00BF20C9" w:rsidP="00182BB5">
      <w:pPr>
        <w:pBdr>
          <w:bottom w:val="single" w:sz="6" w:space="1" w:color="auto"/>
        </w:pBdr>
        <w:spacing w:after="0"/>
        <w:jc w:val="center"/>
        <w:rPr>
          <w:rFonts w:cstheme="majorHAnsi"/>
          <w:b/>
          <w:bCs/>
          <w:sz w:val="26"/>
          <w:szCs w:val="26"/>
        </w:rPr>
      </w:pPr>
      <w:r w:rsidRPr="00F652D9">
        <w:rPr>
          <w:rFonts w:cstheme="majorHAnsi"/>
          <w:b/>
          <w:bCs/>
          <w:sz w:val="26"/>
          <w:szCs w:val="26"/>
        </w:rPr>
        <w:t>Réf : INNOVERT/001/CODESPA/MA</w:t>
      </w:r>
    </w:p>
    <w:p w14:paraId="17AC54F7" w14:textId="52A4E823" w:rsidR="00BF20C9" w:rsidRPr="00F652D9" w:rsidRDefault="00BF20C9" w:rsidP="00182BB5">
      <w:pPr>
        <w:spacing w:after="0"/>
        <w:jc w:val="both"/>
        <w:rPr>
          <w:rFonts w:cstheme="majorHAnsi"/>
          <w:b/>
          <w:bCs/>
          <w:sz w:val="32"/>
          <w:szCs w:val="32"/>
        </w:rPr>
      </w:pPr>
    </w:p>
    <w:p w14:paraId="1B6A5564" w14:textId="595AAC87" w:rsidR="00BF2F1B" w:rsidRPr="00F652D9" w:rsidRDefault="00BF2F1B" w:rsidP="00182BB5">
      <w:pPr>
        <w:spacing w:after="0"/>
        <w:jc w:val="both"/>
        <w:rPr>
          <w:rFonts w:cstheme="majorHAnsi"/>
          <w:b/>
          <w:bCs/>
          <w:sz w:val="32"/>
          <w:szCs w:val="32"/>
        </w:rPr>
      </w:pPr>
    </w:p>
    <w:p w14:paraId="069990A9" w14:textId="5636B75F" w:rsidR="00BF2F1B" w:rsidRPr="00F652D9" w:rsidRDefault="00BF2F1B" w:rsidP="00182BB5">
      <w:pPr>
        <w:spacing w:after="0"/>
        <w:jc w:val="both"/>
        <w:rPr>
          <w:rFonts w:cstheme="majorHAnsi"/>
          <w:b/>
          <w:bCs/>
          <w:sz w:val="32"/>
          <w:szCs w:val="32"/>
        </w:rPr>
      </w:pPr>
    </w:p>
    <w:p w14:paraId="0C258C42" w14:textId="1782842A" w:rsidR="00BF2F1B" w:rsidRPr="00F652D9" w:rsidRDefault="00BF2F1B" w:rsidP="00182BB5">
      <w:pPr>
        <w:spacing w:after="0"/>
        <w:jc w:val="both"/>
        <w:rPr>
          <w:rFonts w:cstheme="majorHAnsi"/>
          <w:b/>
          <w:bCs/>
          <w:sz w:val="32"/>
          <w:szCs w:val="32"/>
        </w:rPr>
      </w:pPr>
    </w:p>
    <w:p w14:paraId="2E01FA16" w14:textId="77777777" w:rsidR="00BF2F1B" w:rsidRPr="00F652D9" w:rsidRDefault="00BF2F1B" w:rsidP="00182BB5">
      <w:pPr>
        <w:spacing w:after="0"/>
        <w:jc w:val="both"/>
        <w:rPr>
          <w:rFonts w:cstheme="majorHAnsi"/>
          <w:b/>
          <w:bCs/>
          <w:sz w:val="32"/>
          <w:szCs w:val="32"/>
        </w:rPr>
      </w:pPr>
    </w:p>
    <w:p w14:paraId="1C28EAA6" w14:textId="68BEAF67" w:rsidR="00BF2F1B" w:rsidRPr="00F652D9" w:rsidRDefault="00BF2F1B" w:rsidP="00182BB5">
      <w:pPr>
        <w:spacing w:after="0"/>
        <w:jc w:val="both"/>
        <w:rPr>
          <w:rFonts w:cstheme="majorHAnsi"/>
          <w:b/>
          <w:bCs/>
          <w:sz w:val="32"/>
          <w:szCs w:val="32"/>
        </w:rPr>
      </w:pPr>
    </w:p>
    <w:p w14:paraId="765BFF18" w14:textId="42564583" w:rsidR="00BF2F1B" w:rsidRPr="00F652D9" w:rsidRDefault="00BF2F1B" w:rsidP="00182BB5">
      <w:pPr>
        <w:spacing w:after="0"/>
        <w:jc w:val="both"/>
        <w:rPr>
          <w:rFonts w:cstheme="majorHAnsi"/>
          <w:b/>
          <w:bCs/>
          <w:i/>
          <w:iCs/>
          <w:sz w:val="28"/>
          <w:szCs w:val="28"/>
          <w:u w:val="single"/>
        </w:rPr>
      </w:pPr>
    </w:p>
    <w:p w14:paraId="02B58DEE" w14:textId="6B3B1F90" w:rsidR="00BF2F1B" w:rsidRPr="00F652D9" w:rsidRDefault="00BF2F1B" w:rsidP="00182BB5">
      <w:pPr>
        <w:spacing w:after="0"/>
        <w:jc w:val="center"/>
        <w:rPr>
          <w:rFonts w:cstheme="majorHAnsi"/>
          <w:b/>
          <w:bCs/>
          <w:i/>
          <w:iCs/>
          <w:sz w:val="28"/>
          <w:szCs w:val="28"/>
          <w:u w:val="single"/>
        </w:rPr>
      </w:pPr>
      <w:r w:rsidRPr="00F652D9">
        <w:rPr>
          <w:b/>
          <w:bCs/>
          <w:i/>
          <w:iCs/>
          <w:sz w:val="28"/>
          <w:szCs w:val="28"/>
          <w:u w:val="single"/>
        </w:rPr>
        <w:t>TERMES DE REFERENCE</w:t>
      </w:r>
    </w:p>
    <w:p w14:paraId="2F2B0482" w14:textId="77777777" w:rsidR="00BF20C9" w:rsidRPr="00F652D9" w:rsidRDefault="00BF20C9" w:rsidP="00182BB5">
      <w:pPr>
        <w:spacing w:after="0"/>
        <w:jc w:val="center"/>
        <w:rPr>
          <w:rFonts w:cstheme="majorHAnsi"/>
          <w:b/>
          <w:bCs/>
          <w:sz w:val="44"/>
          <w:szCs w:val="44"/>
          <w:u w:val="single"/>
        </w:rPr>
      </w:pPr>
    </w:p>
    <w:p w14:paraId="343F658F" w14:textId="2057F66D" w:rsidR="00BF2F1B" w:rsidRPr="00F652D9" w:rsidRDefault="00BF2F1B" w:rsidP="00015A57">
      <w:pPr>
        <w:rPr>
          <w:b/>
          <w:bCs/>
        </w:rPr>
      </w:pPr>
    </w:p>
    <w:p w14:paraId="6995747C" w14:textId="77777777" w:rsidR="00015A57" w:rsidRPr="00F652D9" w:rsidRDefault="00015A57" w:rsidP="00015A57">
      <w:pPr>
        <w:rPr>
          <w:b/>
          <w:bCs/>
        </w:rPr>
      </w:pPr>
    </w:p>
    <w:p w14:paraId="3AD9768E" w14:textId="43A607D1" w:rsidR="00BF2F1B" w:rsidRPr="00F652D9" w:rsidRDefault="00BF2F1B" w:rsidP="00182BB5">
      <w:pPr>
        <w:jc w:val="center"/>
        <w:rPr>
          <w:b/>
          <w:bCs/>
          <w:sz w:val="28"/>
          <w:szCs w:val="28"/>
        </w:rPr>
      </w:pPr>
    </w:p>
    <w:p w14:paraId="5386BBC9" w14:textId="5502E198" w:rsidR="00BF2F1B" w:rsidRPr="00F652D9" w:rsidRDefault="00BF2F1B" w:rsidP="00182BB5">
      <w:pPr>
        <w:jc w:val="center"/>
        <w:rPr>
          <w:b/>
          <w:bCs/>
          <w:sz w:val="28"/>
          <w:szCs w:val="28"/>
        </w:rPr>
      </w:pPr>
      <w:proofErr w:type="gramStart"/>
      <w:r w:rsidRPr="00F652D9">
        <w:rPr>
          <w:b/>
          <w:bCs/>
          <w:sz w:val="28"/>
          <w:szCs w:val="28"/>
        </w:rPr>
        <w:t>pour</w:t>
      </w:r>
      <w:proofErr w:type="gramEnd"/>
      <w:r w:rsidRPr="00F652D9">
        <w:rPr>
          <w:b/>
          <w:bCs/>
          <w:sz w:val="28"/>
          <w:szCs w:val="28"/>
        </w:rPr>
        <w:t xml:space="preserve"> la réalisation d’</w:t>
      </w:r>
      <w:r w:rsidR="003F49B3" w:rsidRPr="00F652D9">
        <w:rPr>
          <w:b/>
          <w:bCs/>
          <w:sz w:val="28"/>
          <w:szCs w:val="28"/>
        </w:rPr>
        <w:t>un diagnostic sectoriel et d’information sur le marché afin d’identifier les principales opportunités de génération d’entrepreneuriat vert dans les secteurs de l’agriculture, du textile</w:t>
      </w:r>
      <w:r w:rsidR="000E64B0" w:rsidRPr="00F652D9">
        <w:rPr>
          <w:b/>
          <w:bCs/>
          <w:sz w:val="28"/>
          <w:szCs w:val="28"/>
        </w:rPr>
        <w:t>, recyclage,</w:t>
      </w:r>
      <w:r w:rsidR="003F49B3" w:rsidRPr="00F652D9">
        <w:rPr>
          <w:b/>
          <w:bCs/>
          <w:sz w:val="28"/>
          <w:szCs w:val="28"/>
        </w:rPr>
        <w:t xml:space="preserve"> et des énergies renouvelables, dans le contexte post-pandémique</w:t>
      </w:r>
    </w:p>
    <w:p w14:paraId="6BD64F87" w14:textId="390B3CD8" w:rsidR="00BF2F1B" w:rsidRPr="00F652D9" w:rsidRDefault="00BF2F1B" w:rsidP="00182BB5">
      <w:pPr>
        <w:jc w:val="both"/>
        <w:rPr>
          <w:b/>
          <w:bCs/>
        </w:rPr>
      </w:pPr>
    </w:p>
    <w:p w14:paraId="7F29FDA3" w14:textId="08F447E2" w:rsidR="00BF2F1B" w:rsidRPr="00F652D9" w:rsidRDefault="00BF2F1B" w:rsidP="00182BB5">
      <w:pPr>
        <w:jc w:val="both"/>
        <w:rPr>
          <w:b/>
          <w:bCs/>
        </w:rPr>
      </w:pPr>
    </w:p>
    <w:p w14:paraId="1E7671B6" w14:textId="40F506F8" w:rsidR="00BF2F1B" w:rsidRPr="00F652D9" w:rsidRDefault="00BF2F1B" w:rsidP="00182BB5">
      <w:pPr>
        <w:jc w:val="both"/>
        <w:rPr>
          <w:b/>
          <w:bCs/>
        </w:rPr>
      </w:pPr>
    </w:p>
    <w:p w14:paraId="1319263F" w14:textId="46DD03AC" w:rsidR="00BF2F1B" w:rsidRPr="00F652D9" w:rsidRDefault="00BF2F1B" w:rsidP="00182BB5">
      <w:pPr>
        <w:jc w:val="both"/>
        <w:rPr>
          <w:b/>
          <w:bCs/>
        </w:rPr>
      </w:pPr>
    </w:p>
    <w:p w14:paraId="27E2AD96" w14:textId="3E2A0DA3" w:rsidR="00BF2F1B" w:rsidRPr="00F652D9" w:rsidRDefault="00BF2F1B" w:rsidP="00182BB5">
      <w:pPr>
        <w:jc w:val="both"/>
        <w:rPr>
          <w:b/>
          <w:bCs/>
        </w:rPr>
      </w:pPr>
    </w:p>
    <w:p w14:paraId="6E59FE41" w14:textId="0D7BEDDD" w:rsidR="00BF2F1B" w:rsidRPr="00F652D9" w:rsidRDefault="00BF2F1B" w:rsidP="00182BB5">
      <w:pPr>
        <w:jc w:val="both"/>
        <w:rPr>
          <w:b/>
          <w:bCs/>
        </w:rPr>
      </w:pPr>
    </w:p>
    <w:p w14:paraId="040C9F0F" w14:textId="733EA49D" w:rsidR="00BF2F1B" w:rsidRPr="00F652D9" w:rsidRDefault="00BF2F1B" w:rsidP="00182BB5">
      <w:pPr>
        <w:jc w:val="both"/>
        <w:rPr>
          <w:b/>
          <w:bCs/>
        </w:rPr>
      </w:pPr>
    </w:p>
    <w:p w14:paraId="79AAD049" w14:textId="2084957C" w:rsidR="00015A57" w:rsidRPr="00F652D9" w:rsidRDefault="00BF2F1B" w:rsidP="00182BB5">
      <w:pPr>
        <w:spacing w:line="276" w:lineRule="auto"/>
        <w:jc w:val="center"/>
        <w:rPr>
          <w:rFonts w:cs="Times New Roman"/>
          <w:b/>
          <w:iCs/>
          <w:color w:val="000000" w:themeColor="text1"/>
          <w:szCs w:val="20"/>
        </w:rPr>
      </w:pPr>
      <w:r w:rsidRPr="00F652D9">
        <w:rPr>
          <w:rFonts w:cs="Times New Roman"/>
          <w:b/>
          <w:iCs/>
          <w:color w:val="000000" w:themeColor="text1"/>
          <w:szCs w:val="20"/>
        </w:rPr>
        <w:t>Mars 2023</w:t>
      </w:r>
      <w:r w:rsidR="00015A57" w:rsidRPr="00F652D9">
        <w:rPr>
          <w:rFonts w:cs="Times New Roman"/>
          <w:b/>
          <w:iCs/>
          <w:color w:val="000000" w:themeColor="text1"/>
          <w:szCs w:val="20"/>
        </w:rPr>
        <w:br w:type="page"/>
      </w:r>
    </w:p>
    <w:p w14:paraId="10BC61A5" w14:textId="13F86434" w:rsidR="006213D2" w:rsidRPr="00F652D9" w:rsidRDefault="00692A2E" w:rsidP="00182BB5">
      <w:pPr>
        <w:pStyle w:val="Prrafodelista"/>
        <w:numPr>
          <w:ilvl w:val="0"/>
          <w:numId w:val="1"/>
        </w:numPr>
        <w:jc w:val="both"/>
        <w:rPr>
          <w:b/>
          <w:bCs/>
        </w:rPr>
      </w:pPr>
      <w:r w:rsidRPr="00F652D9">
        <w:rPr>
          <w:b/>
          <w:bCs/>
        </w:rPr>
        <w:lastRenderedPageBreak/>
        <w:t>Présentation de CODESPA</w:t>
      </w:r>
    </w:p>
    <w:p w14:paraId="7481CA8A" w14:textId="77777777" w:rsidR="00A37174" w:rsidRPr="00F652D9" w:rsidRDefault="00A37174" w:rsidP="00182BB5">
      <w:pPr>
        <w:jc w:val="both"/>
        <w:rPr>
          <w:b/>
          <w:bCs/>
        </w:rPr>
      </w:pPr>
      <w:r w:rsidRPr="00F652D9">
        <w:t xml:space="preserve">CODESPA est une organisation internationale de développement </w:t>
      </w:r>
      <w:hyperlink r:id="rId11" w:history="1">
        <w:r w:rsidRPr="00F652D9">
          <w:rPr>
            <w:rStyle w:val="Hipervnculo"/>
          </w:rPr>
          <w:t>www.codespa.org</w:t>
        </w:r>
      </w:hyperlink>
      <w:r w:rsidRPr="00F652D9">
        <w:t xml:space="preserve"> et depuis 1985 nous cherchons des solutions à la pauvreté en Afrique, en Amérique latine et en Asie. Nous travaillons directement avec les communautés locales en partenariat avec les secteurs public et privé pour créer des opportunités d’affaires et d’emploi. Grâce à la formation, à l’accès aux services financiers et au développement des marchés ruraux, nous aidons les plus vulnérables à naviguer de la pauvreté à la prospérité</w:t>
      </w:r>
      <w:r w:rsidRPr="00F652D9">
        <w:rPr>
          <w:b/>
          <w:bCs/>
        </w:rPr>
        <w:t>.</w:t>
      </w:r>
    </w:p>
    <w:p w14:paraId="789BB3A2" w14:textId="524775B7" w:rsidR="00A37174" w:rsidRPr="00F652D9" w:rsidRDefault="00A37174" w:rsidP="00182BB5">
      <w:pPr>
        <w:jc w:val="both"/>
      </w:pPr>
      <w:r w:rsidRPr="00F652D9">
        <w:t>Notre mission est de permettre à 10 millions de personnes en Amérique latine, en Afrique et en Asie de passer de la pauvreté à la prospérité, grâce à notre modèle évolutif de développement des marchés ruraux et de soutien aux entrepreneurs ; leur fournir des connaissances, des services financiers et des opportunités de marché.</w:t>
      </w:r>
    </w:p>
    <w:p w14:paraId="6020EBFA" w14:textId="49FFA97F" w:rsidR="00A37174" w:rsidRPr="00F652D9" w:rsidRDefault="00A37174" w:rsidP="00182BB5">
      <w:pPr>
        <w:jc w:val="both"/>
      </w:pPr>
      <w:r w:rsidRPr="00F652D9">
        <w:t>CODESPA est présent au Maroc depuis 1997, exécutant des projets visant à promouvoir des sources durables de travail et d’emploi dans les zones vulnérables dans trois régions du pays, à promouvoir des incitations dans différents domaines d’intervention tels que la promotion de l’entrepreneuriat verte, la formation</w:t>
      </w:r>
      <w:r w:rsidR="001029FC" w:rsidRPr="00F652D9">
        <w:t xml:space="preserve"> et l’insertion</w:t>
      </w:r>
      <w:r w:rsidRPr="00F652D9">
        <w:t xml:space="preserve"> professionnelle, le tourisme communautaire rural, </w:t>
      </w:r>
      <w:r w:rsidR="00210FFA" w:rsidRPr="00F652D9">
        <w:t>entre autres.</w:t>
      </w:r>
    </w:p>
    <w:p w14:paraId="701659A1" w14:textId="2479764B" w:rsidR="00BF2F1B" w:rsidRPr="00F652D9" w:rsidRDefault="00BF2F1B" w:rsidP="00182BB5">
      <w:pPr>
        <w:jc w:val="both"/>
      </w:pPr>
    </w:p>
    <w:p w14:paraId="62BBD803" w14:textId="1A9BCC7B" w:rsidR="00BF2F1B" w:rsidRPr="00F652D9" w:rsidRDefault="00BF2F1B" w:rsidP="00182BB5">
      <w:pPr>
        <w:pStyle w:val="Prrafodelista"/>
        <w:numPr>
          <w:ilvl w:val="0"/>
          <w:numId w:val="1"/>
        </w:numPr>
        <w:jc w:val="both"/>
        <w:rPr>
          <w:b/>
          <w:bCs/>
        </w:rPr>
      </w:pPr>
      <w:r w:rsidRPr="00F652D9">
        <w:rPr>
          <w:b/>
          <w:bCs/>
        </w:rPr>
        <w:t>Contexte et justification</w:t>
      </w:r>
    </w:p>
    <w:p w14:paraId="134B4705" w14:textId="1F199633" w:rsidR="00210FFA" w:rsidRPr="00F652D9" w:rsidRDefault="00BF2F1B" w:rsidP="00182BB5">
      <w:pPr>
        <w:spacing w:after="0"/>
        <w:jc w:val="both"/>
      </w:pPr>
      <w:r w:rsidRPr="00F652D9">
        <w:t xml:space="preserve">Le projet </w:t>
      </w:r>
      <w:r w:rsidRPr="00F652D9">
        <w:rPr>
          <w:b/>
          <w:bCs/>
        </w:rPr>
        <w:t>« INNO</w:t>
      </w:r>
      <w:r w:rsidR="000E28AF" w:rsidRPr="00F652D9">
        <w:rPr>
          <w:b/>
          <w:bCs/>
        </w:rPr>
        <w:t>’</w:t>
      </w:r>
      <w:r w:rsidRPr="00F652D9">
        <w:rPr>
          <w:b/>
          <w:bCs/>
        </w:rPr>
        <w:t>VERT – Développement de l’écosystème de</w:t>
      </w:r>
      <w:r w:rsidR="00182BB5" w:rsidRPr="00F652D9">
        <w:rPr>
          <w:b/>
          <w:bCs/>
        </w:rPr>
        <w:t xml:space="preserve"> </w:t>
      </w:r>
      <w:r w:rsidRPr="00F652D9">
        <w:rPr>
          <w:b/>
          <w:bCs/>
        </w:rPr>
        <w:t>l’entreprenariat vert</w:t>
      </w:r>
      <w:r w:rsidR="00182BB5" w:rsidRPr="00F652D9">
        <w:rPr>
          <w:b/>
          <w:bCs/>
        </w:rPr>
        <w:t xml:space="preserve"> </w:t>
      </w:r>
      <w:r w:rsidRPr="00F652D9">
        <w:rPr>
          <w:b/>
          <w:bCs/>
        </w:rPr>
        <w:t>pour les jeunes, femmes et migrants à Tanger, Tétouan et Mdiq-Fnidaq, Maroc »</w:t>
      </w:r>
      <w:r w:rsidRPr="00F652D9">
        <w:t>, financé par l’</w:t>
      </w:r>
      <w:r w:rsidR="00182BB5" w:rsidRPr="00F652D9">
        <w:rPr>
          <w:b/>
          <w:bCs/>
        </w:rPr>
        <w:t>AECID</w:t>
      </w:r>
      <w:r w:rsidR="00182BB5" w:rsidRPr="00F652D9">
        <w:t xml:space="preserve"> - </w:t>
      </w:r>
      <w:r w:rsidRPr="00F652D9">
        <w:t xml:space="preserve">Agence Espagnole de Coopération Internationale au </w:t>
      </w:r>
      <w:r w:rsidR="00182BB5" w:rsidRPr="00F652D9">
        <w:t>Développement</w:t>
      </w:r>
      <w:r w:rsidRPr="00F652D9">
        <w:t xml:space="preserve"> et mis en œuvre par </w:t>
      </w:r>
      <w:r w:rsidR="00182BB5" w:rsidRPr="00F652D9">
        <w:t xml:space="preserve">la </w:t>
      </w:r>
      <w:r w:rsidR="00182BB5" w:rsidRPr="00F652D9">
        <w:rPr>
          <w:b/>
          <w:bCs/>
        </w:rPr>
        <w:t>Fondation CODESPA</w:t>
      </w:r>
      <w:r w:rsidR="00182BB5" w:rsidRPr="00F652D9">
        <w:t xml:space="preserve"> et </w:t>
      </w:r>
      <w:r w:rsidR="00182BB5" w:rsidRPr="00F652D9">
        <w:rPr>
          <w:b/>
          <w:bCs/>
        </w:rPr>
        <w:t>CIDEAL</w:t>
      </w:r>
      <w:r w:rsidRPr="00F652D9">
        <w:t xml:space="preserve"> en partenariat avec </w:t>
      </w:r>
      <w:r w:rsidR="00CE1543" w:rsidRPr="00F652D9">
        <w:rPr>
          <w:b/>
          <w:bCs/>
        </w:rPr>
        <w:t>CHIFAE-</w:t>
      </w:r>
      <w:r w:rsidR="00CE1543" w:rsidRPr="00F652D9">
        <w:t xml:space="preserve"> </w:t>
      </w:r>
      <w:r w:rsidR="00182BB5" w:rsidRPr="00F652D9">
        <w:rPr>
          <w:b/>
          <w:bCs/>
        </w:rPr>
        <w:t>l’Association</w:t>
      </w:r>
      <w:r w:rsidR="00CE1543" w:rsidRPr="00F652D9">
        <w:rPr>
          <w:b/>
          <w:bCs/>
        </w:rPr>
        <w:t xml:space="preserve"> Chifae pour le Développement</w:t>
      </w:r>
      <w:r w:rsidR="00182BB5" w:rsidRPr="00F652D9">
        <w:t xml:space="preserve"> </w:t>
      </w:r>
      <w:r w:rsidR="00182BB5" w:rsidRPr="00F652D9">
        <w:rPr>
          <w:b/>
          <w:bCs/>
        </w:rPr>
        <w:t>CHIFAE</w:t>
      </w:r>
      <w:r w:rsidR="00182BB5" w:rsidRPr="00F652D9">
        <w:t xml:space="preserve">, </w:t>
      </w:r>
      <w:r w:rsidR="00CE1543" w:rsidRPr="00F652D9">
        <w:rPr>
          <w:b/>
          <w:bCs/>
        </w:rPr>
        <w:t>OJA-</w:t>
      </w:r>
      <w:r w:rsidR="00CE1543" w:rsidRPr="00F652D9">
        <w:t xml:space="preserve"> </w:t>
      </w:r>
      <w:r w:rsidR="00182BB5" w:rsidRPr="00F652D9">
        <w:rPr>
          <w:b/>
          <w:bCs/>
        </w:rPr>
        <w:t>Organisation des Jeunes en Afrique</w:t>
      </w:r>
      <w:r w:rsidR="00182BB5" w:rsidRPr="00F652D9">
        <w:t xml:space="preserve">, </w:t>
      </w:r>
      <w:r w:rsidR="00CE1543" w:rsidRPr="00F652D9">
        <w:rPr>
          <w:b/>
          <w:bCs/>
        </w:rPr>
        <w:t xml:space="preserve">UNFM- JM- Union Nationale des Femmes au Maroc- </w:t>
      </w:r>
      <w:proofErr w:type="spellStart"/>
      <w:r w:rsidR="00CE1543" w:rsidRPr="00F652D9">
        <w:rPr>
          <w:b/>
          <w:bCs/>
        </w:rPr>
        <w:t>Jamaa</w:t>
      </w:r>
      <w:proofErr w:type="spellEnd"/>
      <w:r w:rsidR="00CE1543" w:rsidRPr="00F652D9">
        <w:rPr>
          <w:b/>
          <w:bCs/>
        </w:rPr>
        <w:t xml:space="preserve"> </w:t>
      </w:r>
      <w:proofErr w:type="spellStart"/>
      <w:r w:rsidR="00CE1543" w:rsidRPr="00F652D9">
        <w:rPr>
          <w:b/>
          <w:bCs/>
        </w:rPr>
        <w:t>Mezouak</w:t>
      </w:r>
      <w:proofErr w:type="spellEnd"/>
      <w:r w:rsidR="00182BB5" w:rsidRPr="00F652D9">
        <w:t xml:space="preserve">, et </w:t>
      </w:r>
      <w:r w:rsidR="00AD1C05" w:rsidRPr="00F652D9">
        <w:rPr>
          <w:b/>
          <w:bCs/>
        </w:rPr>
        <w:t>FMJE</w:t>
      </w:r>
      <w:r w:rsidR="00CE1543" w:rsidRPr="00F652D9">
        <w:rPr>
          <w:b/>
          <w:bCs/>
        </w:rPr>
        <w:t xml:space="preserve">- Fondation </w:t>
      </w:r>
      <w:proofErr w:type="spellStart"/>
      <w:r w:rsidR="00CE1543" w:rsidRPr="00F652D9">
        <w:rPr>
          <w:b/>
          <w:bCs/>
        </w:rPr>
        <w:t>Moubadara</w:t>
      </w:r>
      <w:proofErr w:type="spellEnd"/>
      <w:r w:rsidR="00CE1543" w:rsidRPr="00F652D9">
        <w:rPr>
          <w:b/>
          <w:bCs/>
        </w:rPr>
        <w:t xml:space="preserve"> pour les Jeune</w:t>
      </w:r>
      <w:r w:rsidR="00257BD6" w:rsidRPr="00F652D9">
        <w:rPr>
          <w:b/>
          <w:bCs/>
        </w:rPr>
        <w:t>s</w:t>
      </w:r>
      <w:r w:rsidR="00CE1543" w:rsidRPr="00F652D9">
        <w:rPr>
          <w:b/>
          <w:bCs/>
        </w:rPr>
        <w:t xml:space="preserve"> et l’Entreprenariat</w:t>
      </w:r>
      <w:r w:rsidRPr="00F652D9">
        <w:t>, sur un</w:t>
      </w:r>
      <w:r w:rsidR="00182BB5" w:rsidRPr="00F652D9">
        <w:t>e</w:t>
      </w:r>
      <w:r w:rsidRPr="00F652D9">
        <w:t xml:space="preserve"> période de 4</w:t>
      </w:r>
      <w:r w:rsidR="00182BB5" w:rsidRPr="00F652D9">
        <w:t>8</w:t>
      </w:r>
      <w:r w:rsidRPr="00F652D9">
        <w:t xml:space="preserve"> mois, </w:t>
      </w:r>
      <w:r w:rsidR="00182BB5" w:rsidRPr="00F652D9">
        <w:t xml:space="preserve">dans la région de Tanger- Tétouan- Al-Hoceima, et en particulier à </w:t>
      </w:r>
      <w:r w:rsidR="00182BB5" w:rsidRPr="00F652D9">
        <w:rPr>
          <w:b/>
          <w:bCs/>
        </w:rPr>
        <w:t>Tanger, Tétouan, et Fnidaq-Mdiq</w:t>
      </w:r>
      <w:r w:rsidR="00182BB5" w:rsidRPr="00F652D9">
        <w:t xml:space="preserve"> au Maroc. </w:t>
      </w:r>
    </w:p>
    <w:p w14:paraId="431EE2F7" w14:textId="5B36F65B" w:rsidR="00205B89" w:rsidRPr="00F652D9" w:rsidRDefault="00205B89" w:rsidP="00182BB5">
      <w:pPr>
        <w:spacing w:after="0"/>
        <w:jc w:val="both"/>
      </w:pPr>
    </w:p>
    <w:p w14:paraId="319065D8" w14:textId="6DA089D8" w:rsidR="000E28AF" w:rsidRPr="00F652D9" w:rsidRDefault="000E28AF" w:rsidP="00182BB5">
      <w:pPr>
        <w:spacing w:after="0"/>
        <w:jc w:val="both"/>
      </w:pPr>
      <w:r w:rsidRPr="00F652D9">
        <w:t xml:space="preserve">En conséquence, le projet a cinq résultats spécifiques attendus : </w:t>
      </w:r>
    </w:p>
    <w:p w14:paraId="2EE7C55F" w14:textId="77777777" w:rsidR="000E28AF" w:rsidRPr="00F652D9" w:rsidRDefault="000E28AF" w:rsidP="00182BB5">
      <w:pPr>
        <w:spacing w:after="0"/>
        <w:jc w:val="both"/>
      </w:pPr>
    </w:p>
    <w:p w14:paraId="61475FE8" w14:textId="22D5BAAD" w:rsidR="000E28AF" w:rsidRPr="00F652D9" w:rsidRDefault="000E28AF" w:rsidP="000E28AF">
      <w:pPr>
        <w:pStyle w:val="Prrafodelista"/>
        <w:numPr>
          <w:ilvl w:val="0"/>
          <w:numId w:val="9"/>
        </w:numPr>
        <w:spacing w:after="0"/>
        <w:jc w:val="both"/>
      </w:pPr>
      <w:r w:rsidRPr="00F652D9">
        <w:t xml:space="preserve">Promouvoir la connaissance et la sensibilisation du public à l’environnement et à l’économie verte et leur participation à la transition vers une économie verte et circulaire ; </w:t>
      </w:r>
    </w:p>
    <w:p w14:paraId="18DC6008" w14:textId="1DD241FA" w:rsidR="000E28AF" w:rsidRPr="00F652D9" w:rsidRDefault="000E28AF" w:rsidP="000E28AF">
      <w:pPr>
        <w:pStyle w:val="Prrafodelista"/>
        <w:numPr>
          <w:ilvl w:val="0"/>
          <w:numId w:val="9"/>
        </w:numPr>
        <w:spacing w:after="0"/>
        <w:jc w:val="both"/>
      </w:pPr>
      <w:r w:rsidRPr="00F652D9">
        <w:t>Promotion de l’innovation technologique et commerciale dans les chaînes de valeur génératrices d’entrepreneuriat vert à forte valeur ajoutée à Tanger, Tétouan et Mdiq-</w:t>
      </w:r>
      <w:r w:rsidR="00616381" w:rsidRPr="00F652D9">
        <w:t>Fnidaq</w:t>
      </w:r>
      <w:r w:rsidRPr="00F652D9">
        <w:t> ;</w:t>
      </w:r>
    </w:p>
    <w:p w14:paraId="0B86C888" w14:textId="6BA1B45C" w:rsidR="000E28AF" w:rsidRPr="00F652D9" w:rsidRDefault="000E28AF" w:rsidP="000E28AF">
      <w:pPr>
        <w:pStyle w:val="Prrafodelista"/>
        <w:numPr>
          <w:ilvl w:val="0"/>
          <w:numId w:val="9"/>
        </w:numPr>
        <w:spacing w:after="0"/>
        <w:jc w:val="both"/>
      </w:pPr>
      <w:r w:rsidRPr="00F652D9">
        <w:t>Promotion de l’entrepreneuriat innovant dans les secteurs émergents de l’économie verte, en promouvant la création d’initiatives commerciales menées par des jeunes, des femmes et des migrants en situation de vulnérabilité socio-économique de Tanger, Tétouan et Mdiq-</w:t>
      </w:r>
      <w:r w:rsidR="00616381" w:rsidRPr="00F652D9">
        <w:t>Fnidaq</w:t>
      </w:r>
      <w:r w:rsidRPr="00F652D9">
        <w:t> ;</w:t>
      </w:r>
    </w:p>
    <w:p w14:paraId="76508ED5" w14:textId="529EC086" w:rsidR="000E28AF" w:rsidRPr="00F652D9" w:rsidRDefault="000E28AF" w:rsidP="000E28AF">
      <w:pPr>
        <w:pStyle w:val="Prrafodelista"/>
        <w:numPr>
          <w:ilvl w:val="0"/>
          <w:numId w:val="9"/>
        </w:numPr>
        <w:spacing w:after="0"/>
        <w:jc w:val="both"/>
      </w:pPr>
      <w:r w:rsidRPr="00F652D9">
        <w:t xml:space="preserve">Attraction de capitaux et de services financiers, publics et privés, pour les projets conçus dans le cadre du programme d’incubation </w:t>
      </w:r>
      <w:proofErr w:type="spellStart"/>
      <w:r w:rsidRPr="00F652D9">
        <w:t>Inno’VERT</w:t>
      </w:r>
      <w:proofErr w:type="spellEnd"/>
      <w:r w:rsidRPr="00F652D9">
        <w:t> ;</w:t>
      </w:r>
    </w:p>
    <w:p w14:paraId="7FFE73EE" w14:textId="72DCDB50" w:rsidR="000E28AF" w:rsidRPr="00F652D9" w:rsidRDefault="000E28AF" w:rsidP="000E28AF">
      <w:pPr>
        <w:pStyle w:val="Prrafodelista"/>
        <w:numPr>
          <w:ilvl w:val="0"/>
          <w:numId w:val="9"/>
        </w:numPr>
        <w:spacing w:after="0"/>
        <w:jc w:val="both"/>
      </w:pPr>
      <w:r w:rsidRPr="00F652D9">
        <w:t xml:space="preserve">Soutenir la commercialisation et la dynamisation des relations d’affaires des entreprises créées dans le cadre du programme </w:t>
      </w:r>
      <w:proofErr w:type="spellStart"/>
      <w:r w:rsidRPr="00F652D9">
        <w:t>Inno’VERT</w:t>
      </w:r>
      <w:proofErr w:type="spellEnd"/>
    </w:p>
    <w:p w14:paraId="1DD68500" w14:textId="77777777" w:rsidR="00F01B88" w:rsidRPr="00F652D9" w:rsidRDefault="00F01B88" w:rsidP="00F01B88">
      <w:pPr>
        <w:pStyle w:val="Prrafodelista"/>
        <w:spacing w:after="0"/>
        <w:jc w:val="both"/>
      </w:pPr>
    </w:p>
    <w:p w14:paraId="49A81AF2" w14:textId="49B90B12" w:rsidR="000E28AF" w:rsidRPr="00F652D9" w:rsidRDefault="00D22D2A" w:rsidP="000E28AF">
      <w:pPr>
        <w:spacing w:after="0"/>
        <w:jc w:val="both"/>
      </w:pPr>
      <w:r w:rsidRPr="00F652D9">
        <w:lastRenderedPageBreak/>
        <w:t>Le projet contribuer</w:t>
      </w:r>
      <w:r w:rsidR="00F01B88" w:rsidRPr="00F652D9">
        <w:t>a</w:t>
      </w:r>
      <w:r w:rsidRPr="00F652D9">
        <w:t xml:space="preserve"> à l’inclusion socio-économique des jeunes, des femmes et des migrants subsahariens en situation de pauvreté et de vulnérabilité dans le nord du Maroc.</w:t>
      </w:r>
    </w:p>
    <w:p w14:paraId="77C7F139" w14:textId="4C7E0B19" w:rsidR="00D22D2A" w:rsidRPr="00F652D9" w:rsidRDefault="00D22D2A" w:rsidP="000E28AF">
      <w:pPr>
        <w:spacing w:after="0"/>
        <w:jc w:val="both"/>
      </w:pPr>
    </w:p>
    <w:p w14:paraId="1A7C8D6F" w14:textId="66A73AE3" w:rsidR="00D22D2A" w:rsidRPr="00F652D9" w:rsidRDefault="00D22D2A" w:rsidP="000E28AF">
      <w:pPr>
        <w:spacing w:after="0"/>
        <w:jc w:val="both"/>
      </w:pPr>
      <w:r w:rsidRPr="00F652D9">
        <w:t xml:space="preserve">Le groupe cible de projet sont : </w:t>
      </w:r>
    </w:p>
    <w:p w14:paraId="69442ED5" w14:textId="6EF9754C" w:rsidR="00D22D2A" w:rsidRPr="00F652D9" w:rsidRDefault="00D22D2A" w:rsidP="00D22D2A">
      <w:pPr>
        <w:pStyle w:val="Prrafodelista"/>
        <w:numPr>
          <w:ilvl w:val="0"/>
          <w:numId w:val="10"/>
        </w:numPr>
        <w:spacing w:after="0"/>
        <w:jc w:val="both"/>
      </w:pPr>
      <w:r w:rsidRPr="00F652D9">
        <w:t>3 000 femmes, jeunes et/ou immigrés, de la région Nord du Maroc seront sensibilisés à l’environnement et à l’économie verte ;</w:t>
      </w:r>
    </w:p>
    <w:p w14:paraId="77C5919E" w14:textId="518E59D4" w:rsidR="00D22D2A" w:rsidRPr="00F652D9" w:rsidRDefault="00D22D2A" w:rsidP="00D22D2A">
      <w:pPr>
        <w:pStyle w:val="Prrafodelista"/>
        <w:numPr>
          <w:ilvl w:val="0"/>
          <w:numId w:val="10"/>
        </w:numPr>
        <w:spacing w:after="0"/>
        <w:jc w:val="both"/>
      </w:pPr>
      <w:r w:rsidRPr="00F652D9">
        <w:t>9 programmes de formation et 90 leaders de la société civile acquièrent/renforcent leurs capacités pour accompagner les processus de démarrage et de développement d’entreprises vertes ;</w:t>
      </w:r>
    </w:p>
    <w:p w14:paraId="11B9876D" w14:textId="2AFF6E9A" w:rsidR="00D22D2A" w:rsidRPr="00F652D9" w:rsidRDefault="00D22D2A" w:rsidP="00D22D2A">
      <w:pPr>
        <w:pStyle w:val="Prrafodelista"/>
        <w:numPr>
          <w:ilvl w:val="0"/>
          <w:numId w:val="10"/>
        </w:numPr>
        <w:spacing w:after="0"/>
        <w:jc w:val="both"/>
      </w:pPr>
      <w:r w:rsidRPr="00F652D9">
        <w:t>1 200 femmes, jeunes et/ou immigrés, originaires de la région Nord du Maroc, renforcent leurs capacités techniques, organisationnelles et de commercialisation pour la gestion d’entreprises vertes ;</w:t>
      </w:r>
    </w:p>
    <w:p w14:paraId="388AF819" w14:textId="24185FBE" w:rsidR="00D22D2A" w:rsidRPr="00F652D9" w:rsidRDefault="00D22D2A" w:rsidP="00D22D2A">
      <w:pPr>
        <w:pStyle w:val="Prrafodelista"/>
        <w:numPr>
          <w:ilvl w:val="0"/>
          <w:numId w:val="10"/>
        </w:numPr>
        <w:spacing w:after="0"/>
        <w:jc w:val="both"/>
      </w:pPr>
      <w:r w:rsidRPr="00F652D9">
        <w:t>84 entreprises vertes développées, avec un accès au financement pour le démarrage et/ou l’accélération.</w:t>
      </w:r>
    </w:p>
    <w:p w14:paraId="561DBC50" w14:textId="77777777" w:rsidR="00D22D2A" w:rsidRPr="00F652D9" w:rsidRDefault="00D22D2A" w:rsidP="00D22D2A">
      <w:pPr>
        <w:pStyle w:val="Prrafodelista"/>
        <w:spacing w:after="0"/>
        <w:jc w:val="both"/>
      </w:pPr>
    </w:p>
    <w:p w14:paraId="023B614D" w14:textId="7A45318B" w:rsidR="00205B89" w:rsidRPr="00F652D9" w:rsidRDefault="00D22D2A" w:rsidP="00182BB5">
      <w:pPr>
        <w:spacing w:after="0"/>
        <w:jc w:val="both"/>
      </w:pPr>
      <w:r w:rsidRPr="00F652D9">
        <w:t xml:space="preserve">Le projet touchera </w:t>
      </w:r>
      <w:r w:rsidR="00F01B88" w:rsidRPr="00F652D9">
        <w:t xml:space="preserve">aussi </w:t>
      </w:r>
      <w:r w:rsidRPr="00F652D9">
        <w:t xml:space="preserve">d’une manière indirecte environ 15.000 </w:t>
      </w:r>
      <w:r w:rsidR="00F01B88" w:rsidRPr="00F652D9">
        <w:t xml:space="preserve">personnes </w:t>
      </w:r>
      <w:r w:rsidR="00015A57" w:rsidRPr="00F652D9">
        <w:t>des familles et personnes de foyer des bénéficiaires directs,</w:t>
      </w:r>
      <w:r w:rsidRPr="00F652D9">
        <w:t xml:space="preserve"> qui bénéficieront des effets des activités menées</w:t>
      </w:r>
      <w:r w:rsidR="00015A57" w:rsidRPr="00F652D9">
        <w:t>.</w:t>
      </w:r>
    </w:p>
    <w:p w14:paraId="2B34E58D" w14:textId="77777777" w:rsidR="00182BB5" w:rsidRPr="00F652D9" w:rsidRDefault="00182BB5" w:rsidP="00182BB5">
      <w:pPr>
        <w:spacing w:after="0"/>
        <w:jc w:val="both"/>
      </w:pPr>
    </w:p>
    <w:p w14:paraId="5A5E1E1B" w14:textId="357F263F" w:rsidR="001E4F34" w:rsidRPr="00F652D9" w:rsidRDefault="00AF50D5" w:rsidP="001E4F34">
      <w:pPr>
        <w:pStyle w:val="Prrafodelista"/>
        <w:numPr>
          <w:ilvl w:val="0"/>
          <w:numId w:val="1"/>
        </w:numPr>
        <w:jc w:val="both"/>
        <w:rPr>
          <w:b/>
          <w:bCs/>
        </w:rPr>
      </w:pPr>
      <w:r w:rsidRPr="00F652D9">
        <w:rPr>
          <w:b/>
          <w:bCs/>
        </w:rPr>
        <w:t>Objectif du Diagnostic</w:t>
      </w:r>
    </w:p>
    <w:p w14:paraId="69EB0192" w14:textId="77777777" w:rsidR="001E4F34" w:rsidRPr="00F652D9" w:rsidRDefault="001E4F34" w:rsidP="001E4F34">
      <w:pPr>
        <w:pStyle w:val="Prrafodelista"/>
        <w:jc w:val="both"/>
        <w:rPr>
          <w:b/>
          <w:bCs/>
        </w:rPr>
      </w:pPr>
    </w:p>
    <w:p w14:paraId="6C353BF5" w14:textId="2D7D31BE" w:rsidR="001E4F34" w:rsidRPr="00F652D9" w:rsidRDefault="001E4F34" w:rsidP="001E4F34">
      <w:pPr>
        <w:pStyle w:val="Prrafodelista"/>
        <w:numPr>
          <w:ilvl w:val="0"/>
          <w:numId w:val="11"/>
        </w:numPr>
        <w:jc w:val="both"/>
        <w:rPr>
          <w:u w:val="single"/>
        </w:rPr>
      </w:pPr>
      <w:r w:rsidRPr="00F652D9">
        <w:rPr>
          <w:u w:val="single"/>
        </w:rPr>
        <w:t>Objectif général :</w:t>
      </w:r>
    </w:p>
    <w:p w14:paraId="671E2C27" w14:textId="2708FAF9" w:rsidR="0077184B" w:rsidRPr="00F652D9" w:rsidRDefault="005E744A" w:rsidP="005E744A">
      <w:pPr>
        <w:jc w:val="both"/>
      </w:pPr>
      <w:r w:rsidRPr="00F652D9">
        <w:t xml:space="preserve">Le diagnostic vise à réaliser une étude et </w:t>
      </w:r>
      <w:r w:rsidR="001E4F34" w:rsidRPr="00F652D9">
        <w:t>une analyse</w:t>
      </w:r>
      <w:r w:rsidRPr="00F652D9">
        <w:t xml:space="preserve"> de marché sur les opportunités d’entrepreneuriat vert dans les chaînes de valeur prioritaires dans les </w:t>
      </w:r>
      <w:r w:rsidR="00BE53D2" w:rsidRPr="00F652D9">
        <w:t>trois provinces de la région de Tanger-Tétouan-Al-Hoceima, à savoir la province de Tanger-</w:t>
      </w:r>
      <w:proofErr w:type="spellStart"/>
      <w:r w:rsidR="00BE53D2" w:rsidRPr="00F652D9">
        <w:t>Assilah</w:t>
      </w:r>
      <w:proofErr w:type="spellEnd"/>
      <w:r w:rsidR="00BE53D2" w:rsidRPr="00F652D9">
        <w:t xml:space="preserve"> ; la province de </w:t>
      </w:r>
      <w:proofErr w:type="spellStart"/>
      <w:r w:rsidR="00BE53D2" w:rsidRPr="00F652D9">
        <w:t>tetouan</w:t>
      </w:r>
      <w:proofErr w:type="spellEnd"/>
      <w:r w:rsidR="00BE53D2" w:rsidRPr="00F652D9">
        <w:t xml:space="preserve"> et la province de Fnidaq-Mdiq.</w:t>
      </w:r>
      <w:r w:rsidRPr="00F652D9">
        <w:t xml:space="preserve"> </w:t>
      </w:r>
    </w:p>
    <w:p w14:paraId="2B9D5E19" w14:textId="08284740" w:rsidR="00A37174" w:rsidRPr="00F652D9" w:rsidRDefault="001E4F34" w:rsidP="001E4F34">
      <w:pPr>
        <w:pStyle w:val="Prrafodelista"/>
        <w:numPr>
          <w:ilvl w:val="0"/>
          <w:numId w:val="11"/>
        </w:numPr>
        <w:jc w:val="both"/>
        <w:rPr>
          <w:u w:val="single"/>
        </w:rPr>
      </w:pPr>
      <w:r w:rsidRPr="00F652D9">
        <w:rPr>
          <w:u w:val="single"/>
        </w:rPr>
        <w:t>Objectifs spécifiques :</w:t>
      </w:r>
    </w:p>
    <w:p w14:paraId="0C421820" w14:textId="77777777" w:rsidR="007123F8" w:rsidRPr="0081590E" w:rsidRDefault="007123F8" w:rsidP="007123F8">
      <w:pPr>
        <w:pStyle w:val="Prrafodelista"/>
        <w:jc w:val="both"/>
        <w:rPr>
          <w:szCs w:val="20"/>
          <w:u w:val="single"/>
        </w:rPr>
      </w:pPr>
    </w:p>
    <w:p w14:paraId="1965BA9E" w14:textId="04398BDF" w:rsidR="007123F8" w:rsidRPr="0081590E" w:rsidRDefault="00A56CD7" w:rsidP="007123F8">
      <w:pPr>
        <w:pStyle w:val="Prrafodelista"/>
        <w:numPr>
          <w:ilvl w:val="0"/>
          <w:numId w:val="12"/>
        </w:numPr>
        <w:jc w:val="both"/>
        <w:rPr>
          <w:szCs w:val="20"/>
        </w:rPr>
      </w:pPr>
      <w:r w:rsidRPr="0081590E">
        <w:rPr>
          <w:szCs w:val="20"/>
        </w:rPr>
        <w:t xml:space="preserve">Identifier </w:t>
      </w:r>
      <w:r w:rsidR="0043621F" w:rsidRPr="0081590E">
        <w:rPr>
          <w:szCs w:val="20"/>
        </w:rPr>
        <w:t>les opportunités de génération de l’</w:t>
      </w:r>
      <w:r w:rsidR="007123F8" w:rsidRPr="0081590E">
        <w:rPr>
          <w:szCs w:val="20"/>
        </w:rPr>
        <w:t>entreprenariat</w:t>
      </w:r>
      <w:r w:rsidR="0043621F" w:rsidRPr="0081590E">
        <w:rPr>
          <w:szCs w:val="20"/>
        </w:rPr>
        <w:t xml:space="preserve"> vert</w:t>
      </w:r>
      <w:r w:rsidR="007123F8" w:rsidRPr="0081590E">
        <w:rPr>
          <w:szCs w:val="20"/>
        </w:rPr>
        <w:t xml:space="preserve"> dans la région de Tanger-Tétouan-Al-Hoceima, et en particulier à Tanger, Tétouan et Fnidaq-Mdiq ;</w:t>
      </w:r>
    </w:p>
    <w:p w14:paraId="33067CCF" w14:textId="3BC4CB54" w:rsidR="007123F8" w:rsidRPr="0081590E" w:rsidRDefault="007123F8" w:rsidP="007123F8">
      <w:pPr>
        <w:pStyle w:val="Prrafodelista"/>
        <w:numPr>
          <w:ilvl w:val="0"/>
          <w:numId w:val="12"/>
        </w:numPr>
        <w:jc w:val="both"/>
        <w:rPr>
          <w:szCs w:val="20"/>
        </w:rPr>
      </w:pPr>
      <w:r w:rsidRPr="0081590E">
        <w:rPr>
          <w:szCs w:val="20"/>
        </w:rPr>
        <w:t>Identifier les opportunités de l’entreprenariat vert dans les chaines de valeur prioritaires dans les 3 provinces d’intervention : Agroécologie, Textile et énergie renouvelables ;</w:t>
      </w:r>
    </w:p>
    <w:p w14:paraId="60552A6A" w14:textId="6111CFEE" w:rsidR="007123F8" w:rsidRPr="0081590E" w:rsidRDefault="00B53C6B" w:rsidP="007123F8">
      <w:pPr>
        <w:pStyle w:val="Prrafodelista"/>
        <w:numPr>
          <w:ilvl w:val="0"/>
          <w:numId w:val="12"/>
        </w:numPr>
        <w:jc w:val="both"/>
        <w:rPr>
          <w:szCs w:val="20"/>
        </w:rPr>
      </w:pPr>
      <w:r w:rsidRPr="0081590E">
        <w:rPr>
          <w:szCs w:val="20"/>
        </w:rPr>
        <w:t>Identifier au moins 6 niches d’opportunités ayant la capacité de générer l’entreprenariat vert ;</w:t>
      </w:r>
    </w:p>
    <w:p w14:paraId="002BC4B9" w14:textId="6197DA90" w:rsidR="00197B6A" w:rsidRPr="0081590E" w:rsidRDefault="00197B6A" w:rsidP="00197B6A">
      <w:pPr>
        <w:pStyle w:val="Prrafodelista"/>
        <w:numPr>
          <w:ilvl w:val="0"/>
          <w:numId w:val="12"/>
        </w:numPr>
        <w:tabs>
          <w:tab w:val="left" w:pos="993"/>
        </w:tabs>
        <w:spacing w:after="120" w:line="240" w:lineRule="auto"/>
        <w:contextualSpacing w:val="0"/>
        <w:jc w:val="both"/>
        <w:rPr>
          <w:rFonts w:cs="Arial"/>
          <w:szCs w:val="20"/>
        </w:rPr>
      </w:pPr>
      <w:r w:rsidRPr="0081590E">
        <w:rPr>
          <w:rFonts w:cs="Times New Roman"/>
          <w:szCs w:val="20"/>
        </w:rPr>
        <w:t xml:space="preserve">Déterminer les besoins </w:t>
      </w:r>
      <w:r w:rsidR="006C208F" w:rsidRPr="0081590E">
        <w:rPr>
          <w:rFonts w:cs="Times New Roman"/>
          <w:szCs w:val="20"/>
        </w:rPr>
        <w:t>technologiques</w:t>
      </w:r>
      <w:r w:rsidRPr="0081590E">
        <w:rPr>
          <w:rFonts w:cs="Times New Roman"/>
          <w:szCs w:val="20"/>
        </w:rPr>
        <w:t xml:space="preserve"> </w:t>
      </w:r>
      <w:r w:rsidR="006C208F" w:rsidRPr="0081590E">
        <w:rPr>
          <w:rFonts w:cs="Times New Roman"/>
          <w:szCs w:val="20"/>
        </w:rPr>
        <w:t>ostensibles</w:t>
      </w:r>
      <w:r w:rsidRPr="0081590E">
        <w:rPr>
          <w:rFonts w:cs="Times New Roman"/>
          <w:szCs w:val="20"/>
        </w:rPr>
        <w:t xml:space="preserve">, </w:t>
      </w:r>
      <w:r w:rsidR="006C208F" w:rsidRPr="0081590E">
        <w:rPr>
          <w:rFonts w:cs="Times New Roman"/>
          <w:szCs w:val="20"/>
        </w:rPr>
        <w:t>accessibles</w:t>
      </w:r>
      <w:r w:rsidRPr="0081590E">
        <w:rPr>
          <w:rFonts w:cs="Times New Roman"/>
          <w:szCs w:val="20"/>
        </w:rPr>
        <w:t xml:space="preserve"> et amis de l’</w:t>
      </w:r>
      <w:r w:rsidR="006C208F" w:rsidRPr="0081590E">
        <w:rPr>
          <w:rFonts w:cs="Times New Roman"/>
          <w:szCs w:val="20"/>
        </w:rPr>
        <w:t>environnement</w:t>
      </w:r>
      <w:r w:rsidRPr="0081590E">
        <w:rPr>
          <w:rFonts w:cs="Times New Roman"/>
          <w:szCs w:val="20"/>
        </w:rPr>
        <w:t>, afin de monter l’</w:t>
      </w:r>
      <w:r w:rsidR="006C208F" w:rsidRPr="0081590E">
        <w:rPr>
          <w:rFonts w:cs="Times New Roman"/>
          <w:szCs w:val="20"/>
        </w:rPr>
        <w:t>entreprenariat</w:t>
      </w:r>
      <w:r w:rsidRPr="0081590E">
        <w:rPr>
          <w:rFonts w:cs="Times New Roman"/>
          <w:szCs w:val="20"/>
        </w:rPr>
        <w:t xml:space="preserve"> vert ;</w:t>
      </w:r>
    </w:p>
    <w:p w14:paraId="69435FCD" w14:textId="515C98C7" w:rsidR="00197B6A" w:rsidRPr="0081590E" w:rsidRDefault="00197B6A" w:rsidP="007611FF">
      <w:pPr>
        <w:pStyle w:val="Prrafodelista"/>
        <w:numPr>
          <w:ilvl w:val="0"/>
          <w:numId w:val="12"/>
        </w:numPr>
        <w:tabs>
          <w:tab w:val="left" w:pos="993"/>
        </w:tabs>
        <w:spacing w:after="120" w:line="240" w:lineRule="auto"/>
        <w:contextualSpacing w:val="0"/>
        <w:jc w:val="both"/>
        <w:rPr>
          <w:rFonts w:cs="Arial"/>
          <w:szCs w:val="20"/>
        </w:rPr>
      </w:pPr>
      <w:r w:rsidRPr="0081590E">
        <w:rPr>
          <w:rFonts w:cs="Arial"/>
          <w:szCs w:val="20"/>
        </w:rPr>
        <w:t xml:space="preserve">Identifier au moins 2 entreprises par niche, qui seraient </w:t>
      </w:r>
      <w:r w:rsidR="006C208F" w:rsidRPr="0081590E">
        <w:rPr>
          <w:rFonts w:cs="Arial"/>
          <w:szCs w:val="20"/>
        </w:rPr>
        <w:t>intéressés</w:t>
      </w:r>
      <w:r w:rsidRPr="0081590E">
        <w:rPr>
          <w:rFonts w:cs="Arial"/>
          <w:szCs w:val="20"/>
        </w:rPr>
        <w:t xml:space="preserve"> par l’achat des produits et services des </w:t>
      </w:r>
      <w:r w:rsidR="006C208F" w:rsidRPr="0081590E">
        <w:rPr>
          <w:rFonts w:cs="Arial"/>
          <w:szCs w:val="20"/>
        </w:rPr>
        <w:t>entrepreneurs</w:t>
      </w:r>
      <w:r w:rsidRPr="0081590E">
        <w:rPr>
          <w:rFonts w:cs="Arial"/>
          <w:szCs w:val="20"/>
        </w:rPr>
        <w:t xml:space="preserve"> verts</w:t>
      </w:r>
    </w:p>
    <w:p w14:paraId="05394307" w14:textId="33F2092E" w:rsidR="00197B6A" w:rsidRPr="0081590E" w:rsidRDefault="00197B6A" w:rsidP="00197B6A">
      <w:pPr>
        <w:pStyle w:val="Prrafodelista"/>
        <w:numPr>
          <w:ilvl w:val="0"/>
          <w:numId w:val="12"/>
        </w:numPr>
        <w:tabs>
          <w:tab w:val="left" w:pos="993"/>
        </w:tabs>
        <w:spacing w:after="120" w:line="240" w:lineRule="auto"/>
        <w:contextualSpacing w:val="0"/>
        <w:jc w:val="both"/>
        <w:rPr>
          <w:rFonts w:cs="Times New Roman"/>
          <w:szCs w:val="20"/>
        </w:rPr>
      </w:pPr>
      <w:r w:rsidRPr="0081590E">
        <w:rPr>
          <w:szCs w:val="20"/>
        </w:rPr>
        <w:t>Quantifier et caractériser la demande potentielle de produits et services verts de la part des entreprises identifiées ;</w:t>
      </w:r>
      <w:r w:rsidRPr="0081590E">
        <w:rPr>
          <w:rFonts w:cs="Times New Roman"/>
          <w:szCs w:val="20"/>
        </w:rPr>
        <w:t xml:space="preserve"> </w:t>
      </w:r>
    </w:p>
    <w:p w14:paraId="1ED81EE5" w14:textId="7BBB5BA9" w:rsidR="00BE53D2" w:rsidRPr="0081590E" w:rsidRDefault="00197B6A" w:rsidP="00BE53D2">
      <w:pPr>
        <w:pStyle w:val="Prrafodelista"/>
        <w:numPr>
          <w:ilvl w:val="0"/>
          <w:numId w:val="12"/>
        </w:numPr>
        <w:jc w:val="both"/>
        <w:rPr>
          <w:szCs w:val="20"/>
        </w:rPr>
      </w:pPr>
      <w:r w:rsidRPr="0081590E">
        <w:rPr>
          <w:rFonts w:cs="Times New Roman"/>
          <w:szCs w:val="20"/>
        </w:rPr>
        <w:t xml:space="preserve">Identifier les intermédiaires, fournisseurs, et services de logistique nécessaires pour mettre les liens entre les entreprises identifiés et les </w:t>
      </w:r>
      <w:r w:rsidR="006C208F" w:rsidRPr="0081590E">
        <w:rPr>
          <w:rFonts w:cs="Times New Roman"/>
          <w:szCs w:val="20"/>
        </w:rPr>
        <w:t>entrepreneurs</w:t>
      </w:r>
      <w:r w:rsidRPr="0081590E">
        <w:rPr>
          <w:rFonts w:cs="Times New Roman"/>
          <w:szCs w:val="20"/>
        </w:rPr>
        <w:t xml:space="preserve"> verts potentiels </w:t>
      </w:r>
      <w:r w:rsidR="00BE53D2" w:rsidRPr="0081590E">
        <w:rPr>
          <w:szCs w:val="20"/>
        </w:rPr>
        <w:t>Analyser les barrières des marchés sensible au genre dans les provinces d’intervention ;</w:t>
      </w:r>
    </w:p>
    <w:p w14:paraId="09348D33" w14:textId="30F9383C" w:rsidR="00BE53D2" w:rsidRPr="0081590E" w:rsidRDefault="00BE53D2" w:rsidP="00BE53D2">
      <w:pPr>
        <w:pStyle w:val="Prrafodelista"/>
        <w:numPr>
          <w:ilvl w:val="0"/>
          <w:numId w:val="12"/>
        </w:numPr>
        <w:jc w:val="both"/>
        <w:rPr>
          <w:szCs w:val="20"/>
        </w:rPr>
      </w:pPr>
      <w:r w:rsidRPr="0081590E">
        <w:rPr>
          <w:szCs w:val="20"/>
        </w:rPr>
        <w:t>Déterminer les barrières de commercialisation des produits de des 3 chaines de valeurs ;</w:t>
      </w:r>
    </w:p>
    <w:p w14:paraId="7CB44AE1" w14:textId="21514044" w:rsidR="00197B6A" w:rsidRPr="0081590E" w:rsidRDefault="00197B6A" w:rsidP="00197B6A">
      <w:pPr>
        <w:pStyle w:val="Prrafodelista"/>
        <w:numPr>
          <w:ilvl w:val="0"/>
          <w:numId w:val="12"/>
        </w:numPr>
        <w:tabs>
          <w:tab w:val="left" w:pos="993"/>
        </w:tabs>
        <w:spacing w:after="120" w:line="240" w:lineRule="auto"/>
        <w:contextualSpacing w:val="0"/>
        <w:jc w:val="both"/>
        <w:rPr>
          <w:rFonts w:cs="Times New Roman"/>
          <w:szCs w:val="20"/>
        </w:rPr>
      </w:pPr>
      <w:r w:rsidRPr="0081590E">
        <w:rPr>
          <w:rFonts w:cs="Times New Roman"/>
          <w:szCs w:val="20"/>
        </w:rPr>
        <w:lastRenderedPageBreak/>
        <w:t>Générer des recommandations qui favorisent l’articulation entre la demande identifiée (entreprises privées) et l’offre (entreprises vertes).</w:t>
      </w:r>
    </w:p>
    <w:p w14:paraId="357DCBFC" w14:textId="414C7D9E" w:rsidR="00BE53D2" w:rsidRPr="0081590E" w:rsidRDefault="00BE53D2" w:rsidP="00BE53D2">
      <w:pPr>
        <w:pStyle w:val="Prrafodelista"/>
        <w:numPr>
          <w:ilvl w:val="0"/>
          <w:numId w:val="12"/>
        </w:numPr>
        <w:jc w:val="both"/>
        <w:rPr>
          <w:szCs w:val="20"/>
        </w:rPr>
      </w:pPr>
      <w:r w:rsidRPr="0081590E">
        <w:rPr>
          <w:szCs w:val="20"/>
        </w:rPr>
        <w:t>Citer les recommandations pour la promotion de l’entreprenariat verte dans la région d’intervention.</w:t>
      </w:r>
    </w:p>
    <w:p w14:paraId="5C86A38D" w14:textId="2C0C7219" w:rsidR="00723A33" w:rsidRPr="00F652D9" w:rsidRDefault="00723A33" w:rsidP="00723A33">
      <w:pPr>
        <w:pStyle w:val="Prrafodelista"/>
        <w:jc w:val="both"/>
      </w:pPr>
      <w:r w:rsidRPr="00F652D9">
        <w:br w:type="page"/>
      </w:r>
    </w:p>
    <w:p w14:paraId="71E22184" w14:textId="1521ADA0" w:rsidR="00373E47" w:rsidRPr="00F652D9" w:rsidRDefault="00A9196D" w:rsidP="00182BB5">
      <w:pPr>
        <w:pStyle w:val="Prrafodelista"/>
        <w:numPr>
          <w:ilvl w:val="0"/>
          <w:numId w:val="1"/>
        </w:numPr>
        <w:jc w:val="both"/>
        <w:rPr>
          <w:b/>
          <w:bCs/>
        </w:rPr>
      </w:pPr>
      <w:r w:rsidRPr="00F652D9">
        <w:rPr>
          <w:b/>
          <w:bCs/>
        </w:rPr>
        <w:lastRenderedPageBreak/>
        <w:t xml:space="preserve"> </w:t>
      </w:r>
      <w:r w:rsidR="009F4787" w:rsidRPr="00F652D9">
        <w:rPr>
          <w:b/>
          <w:bCs/>
        </w:rPr>
        <w:t>Méthodologie</w:t>
      </w:r>
    </w:p>
    <w:p w14:paraId="1C615AA1" w14:textId="77777777" w:rsidR="004C5620" w:rsidRPr="00F86B08" w:rsidRDefault="004C5620" w:rsidP="00616381">
      <w:pPr>
        <w:jc w:val="both"/>
        <w:rPr>
          <w:szCs w:val="20"/>
        </w:rPr>
      </w:pPr>
    </w:p>
    <w:p w14:paraId="5FC817D0" w14:textId="4B535D2F" w:rsidR="00197B6A" w:rsidRPr="00F86B08" w:rsidRDefault="00197B6A" w:rsidP="00197B6A">
      <w:pPr>
        <w:pStyle w:val="Prrafodelista"/>
        <w:numPr>
          <w:ilvl w:val="0"/>
          <w:numId w:val="22"/>
        </w:numPr>
        <w:ind w:left="360"/>
        <w:jc w:val="both"/>
        <w:rPr>
          <w:rFonts w:cs="Times New Roman"/>
          <w:szCs w:val="20"/>
        </w:rPr>
      </w:pPr>
      <w:r w:rsidRPr="00F86B08">
        <w:rPr>
          <w:rFonts w:cs="Times New Roman"/>
          <w:szCs w:val="20"/>
        </w:rPr>
        <w:t>Les opportunités de génération d’entrepreneuriat vert devront être qualifiées sur la base de différents critères, tels que: 1) l’existence d’entreprises privées achetant les produits et services verts identifiés, 2) la forte demande des entreprises privées; existence d’intermédiaires financiers intéressés à investir dans le secteur, 4) Disponibilité d’intrants pour l’entrepreneuriat à Tanger-Tétouan-Al-Hoceima, à savoir la province de Tanger-</w:t>
      </w:r>
      <w:proofErr w:type="spellStart"/>
      <w:r w:rsidRPr="00F86B08">
        <w:rPr>
          <w:rFonts w:cs="Times New Roman"/>
          <w:szCs w:val="20"/>
        </w:rPr>
        <w:t>Assilah</w:t>
      </w:r>
      <w:proofErr w:type="spellEnd"/>
      <w:r w:rsidRPr="00F86B08">
        <w:rPr>
          <w:rFonts w:cs="Times New Roman"/>
          <w:szCs w:val="20"/>
        </w:rPr>
        <w:t>; la province de Tétouan et la province du Fnidaq-Mdiq, 5) Technologie pour l’entrepreneuriat suffisamment accessible, abordable et peu coûteuse ; 6) Impact positif sur l’environnement; 7) Possibilité de créer des emplois grâce à l’entrepreneuriat.</w:t>
      </w:r>
    </w:p>
    <w:p w14:paraId="3FC18CBC" w14:textId="20B9C9D4" w:rsidR="00CA22E8" w:rsidRPr="00F86B08" w:rsidRDefault="00CA22E8" w:rsidP="00F86B08">
      <w:pPr>
        <w:pStyle w:val="Prrafodelista"/>
        <w:numPr>
          <w:ilvl w:val="0"/>
          <w:numId w:val="22"/>
        </w:numPr>
        <w:ind w:left="360"/>
        <w:jc w:val="both"/>
        <w:rPr>
          <w:rFonts w:cs="Times New Roman"/>
          <w:szCs w:val="20"/>
        </w:rPr>
      </w:pPr>
      <w:r w:rsidRPr="00F86B08">
        <w:rPr>
          <w:rFonts w:cs="Times New Roman"/>
          <w:szCs w:val="20"/>
        </w:rPr>
        <w:t>Les entreprises devront être évaluées en fonction de leur demande du secteur privé et de l’accessibilité, de l’</w:t>
      </w:r>
      <w:r w:rsidR="006C208F" w:rsidRPr="00F86B08">
        <w:rPr>
          <w:rFonts w:cs="Times New Roman"/>
          <w:szCs w:val="20"/>
        </w:rPr>
        <w:t>amorçabilité</w:t>
      </w:r>
      <w:r w:rsidRPr="00F86B08">
        <w:rPr>
          <w:rFonts w:cs="Times New Roman"/>
          <w:szCs w:val="20"/>
        </w:rPr>
        <w:t>, de la viabilité et de la durabilité environnementale de la technologie nécessaire à leur mise en œuvre.</w:t>
      </w:r>
      <w:r w:rsidR="004C5620" w:rsidRPr="00F86B08">
        <w:rPr>
          <w:rFonts w:cs="Times New Roman"/>
          <w:szCs w:val="20"/>
        </w:rPr>
        <w:t xml:space="preserve">  </w:t>
      </w:r>
    </w:p>
    <w:p w14:paraId="78B259CB" w14:textId="7FF73B63" w:rsidR="00CA22E8" w:rsidRPr="00F86B08" w:rsidRDefault="00CA22E8" w:rsidP="00F86B08">
      <w:pPr>
        <w:pStyle w:val="Prrafodelista"/>
        <w:numPr>
          <w:ilvl w:val="0"/>
          <w:numId w:val="22"/>
        </w:numPr>
        <w:ind w:left="360"/>
        <w:jc w:val="both"/>
        <w:rPr>
          <w:rFonts w:cs="Times New Roman"/>
          <w:szCs w:val="20"/>
        </w:rPr>
      </w:pPr>
      <w:r w:rsidRPr="00F86B08">
        <w:rPr>
          <w:rFonts w:cs="Times New Roman"/>
          <w:szCs w:val="20"/>
        </w:rPr>
        <w:t xml:space="preserve">L’approche du marché doit être envisagée dès le début de la </w:t>
      </w:r>
      <w:r w:rsidR="006C208F" w:rsidRPr="00F86B08">
        <w:rPr>
          <w:rFonts w:cs="Times New Roman"/>
          <w:szCs w:val="20"/>
        </w:rPr>
        <w:t>consultation ;</w:t>
      </w:r>
      <w:r w:rsidRPr="00F86B08">
        <w:rPr>
          <w:rFonts w:cs="Times New Roman"/>
          <w:szCs w:val="20"/>
        </w:rPr>
        <w:t xml:space="preserve"> Des entretiens devraient être menés aux niveaux national et régional avec les entreprises susceptibles d’être des clients potentiels, avec les associations professionnelles des chaînes prioritaires, ainsi qu’avec les chambres de commerce régionales. Les entreprises vertes qui n’ont pas une demande potentielle suffisante ne seront pas considérées comme viables. </w:t>
      </w:r>
      <w:r w:rsidR="004C5620" w:rsidRPr="00F86B08">
        <w:rPr>
          <w:rFonts w:cs="Times New Roman"/>
          <w:szCs w:val="20"/>
        </w:rPr>
        <w:t xml:space="preserve"> </w:t>
      </w:r>
    </w:p>
    <w:p w14:paraId="666BF054" w14:textId="14250DFF" w:rsidR="004C5620" w:rsidRPr="00F86B08" w:rsidRDefault="00CA22E8" w:rsidP="00F86B08">
      <w:pPr>
        <w:pStyle w:val="Prrafodelista"/>
        <w:numPr>
          <w:ilvl w:val="0"/>
          <w:numId w:val="22"/>
        </w:numPr>
        <w:spacing w:after="120" w:line="240" w:lineRule="auto"/>
        <w:ind w:left="360"/>
        <w:jc w:val="both"/>
        <w:rPr>
          <w:rFonts w:cs="Times New Roman"/>
          <w:szCs w:val="20"/>
        </w:rPr>
      </w:pPr>
      <w:r w:rsidRPr="00F86B08">
        <w:rPr>
          <w:rFonts w:cs="Times New Roman"/>
          <w:szCs w:val="20"/>
        </w:rPr>
        <w:t>Il convient de recenser les tendances du marché vert, d’identifier les possibilités de sous-produits issus de l’utilisation des déchets et d’identifier les lacunes dans l’accès aux marchés aux niveaux régional et national.</w:t>
      </w:r>
    </w:p>
    <w:p w14:paraId="27C16077" w14:textId="1B74313B" w:rsidR="00CA22E8" w:rsidRPr="00F86B08" w:rsidRDefault="00CA22E8" w:rsidP="00F86B08">
      <w:pPr>
        <w:pStyle w:val="Prrafodelista"/>
        <w:numPr>
          <w:ilvl w:val="0"/>
          <w:numId w:val="22"/>
        </w:numPr>
        <w:ind w:left="360"/>
        <w:jc w:val="both"/>
        <w:rPr>
          <w:rFonts w:cs="Times New Roman"/>
          <w:szCs w:val="20"/>
        </w:rPr>
      </w:pPr>
      <w:r w:rsidRPr="00F86B08">
        <w:rPr>
          <w:rFonts w:cs="Times New Roman"/>
          <w:szCs w:val="20"/>
        </w:rPr>
        <w:t>Le processus méthodologique qui comprend les ressources humaines, le matériel, les logiciels ou les outils à utiliser pour la collecte, l’interprétation, l’élaboration et l’analyse des données pour l’élaboration du diagnostic détaillé du marché de niche doit être clairement démontré.</w:t>
      </w:r>
    </w:p>
    <w:p w14:paraId="32D0DBFD" w14:textId="1E614CAF" w:rsidR="004C5620" w:rsidRPr="00F86B08" w:rsidRDefault="00CA22E8" w:rsidP="00F86B08">
      <w:pPr>
        <w:pStyle w:val="Prrafodelista"/>
        <w:numPr>
          <w:ilvl w:val="0"/>
          <w:numId w:val="22"/>
        </w:numPr>
        <w:spacing w:after="120" w:line="240" w:lineRule="auto"/>
        <w:ind w:left="360"/>
        <w:jc w:val="both"/>
        <w:rPr>
          <w:rFonts w:cs="Times New Roman"/>
          <w:szCs w:val="20"/>
        </w:rPr>
      </w:pPr>
      <w:r w:rsidRPr="00F86B08">
        <w:rPr>
          <w:rFonts w:cs="Times New Roman"/>
          <w:szCs w:val="20"/>
        </w:rPr>
        <w:t xml:space="preserve">Un travail de terrain planifié, des entretiens et des réunions </w:t>
      </w:r>
      <w:r w:rsidR="00F86B08" w:rsidRPr="00F86B08">
        <w:rPr>
          <w:rFonts w:cs="Times New Roman"/>
          <w:szCs w:val="20"/>
        </w:rPr>
        <w:t>doit</w:t>
      </w:r>
      <w:r w:rsidRPr="00F86B08">
        <w:rPr>
          <w:rFonts w:cs="Times New Roman"/>
          <w:szCs w:val="20"/>
        </w:rPr>
        <w:t xml:space="preserve"> être effectués en fonction de l’objectif du diagnostic du marché de niche, générant des informations pertinentes qui servent à la prise de décision dans la mise en œuvre du projet.</w:t>
      </w:r>
    </w:p>
    <w:p w14:paraId="7FF59B6A" w14:textId="77777777" w:rsidR="004C5620" w:rsidRPr="00F652D9" w:rsidRDefault="004C5620" w:rsidP="00616381">
      <w:pPr>
        <w:jc w:val="both"/>
      </w:pPr>
    </w:p>
    <w:p w14:paraId="1C75094E" w14:textId="119443B1" w:rsidR="00616381" w:rsidRPr="00F652D9" w:rsidRDefault="00616381" w:rsidP="00616381">
      <w:pPr>
        <w:jc w:val="both"/>
      </w:pPr>
      <w:r w:rsidRPr="00F652D9">
        <w:t>Le/la consultant/e sélectionné/e sera en charge de définir et de mettre en œuvre l’approche globale de diagnostic, en alignement avec la Matrice de planification global du projet. Cela comprendra la spécification de l’approche d’échantillonnage, les techniques de collecte et d'analyse des données, le développement des outils de collecte des données, le plan d’analyse, etc.</w:t>
      </w:r>
    </w:p>
    <w:p w14:paraId="27F49B2B" w14:textId="6C18FB33" w:rsidR="00616381" w:rsidRPr="00F652D9" w:rsidRDefault="00616381" w:rsidP="00616381">
      <w:pPr>
        <w:jc w:val="both"/>
      </w:pPr>
      <w:r w:rsidRPr="00F652D9">
        <w:t>Pour atteindre ses objectifs, le diagnostic devra utiliser des méthodes mixtes (quantitative et qualitatives), et sensibles au genre, y compris des enquêtes, des groupes de discussion, des entretiens et des révisions de documentation.</w:t>
      </w:r>
    </w:p>
    <w:p w14:paraId="64D71F8B" w14:textId="53D05617" w:rsidR="00616381" w:rsidRPr="00F652D9" w:rsidRDefault="00616381" w:rsidP="00616381">
      <w:pPr>
        <w:jc w:val="both"/>
      </w:pPr>
      <w:r w:rsidRPr="00F652D9">
        <w:t>La méthodologie doit prendre en compte, dans tous ses aspects, l’approche orientée vers l’entreprenariat vert. Les outils et techniques développés devraient refléter une compréhension globale de ce secteur.</w:t>
      </w:r>
    </w:p>
    <w:p w14:paraId="181C2916" w14:textId="0BDFC623" w:rsidR="00616381" w:rsidRPr="00F652D9" w:rsidRDefault="00616381" w:rsidP="00616381">
      <w:pPr>
        <w:jc w:val="both"/>
      </w:pPr>
      <w:r w:rsidRPr="00F652D9">
        <w:t>La méthodologie devrait également adopter une approche participative avec les parties prenantes du projet et les acteurs de l’écosystème entrepreneurial.</w:t>
      </w:r>
    </w:p>
    <w:p w14:paraId="21404937" w14:textId="5E3454A6" w:rsidR="00616381" w:rsidRPr="00F652D9" w:rsidRDefault="00616381" w:rsidP="00616381">
      <w:pPr>
        <w:jc w:val="both"/>
      </w:pPr>
      <w:r w:rsidRPr="00F652D9">
        <w:lastRenderedPageBreak/>
        <w:t>De plus, les données primaires seront collectées autant que possible à partir d'échantillons représentatifs des populations et groupes ciblée. Toutes les informations collectées devront être ventilées par genre et par âge, ainsi que par d’autres types de désagrégation appropriés.</w:t>
      </w:r>
    </w:p>
    <w:p w14:paraId="3A4576C2" w14:textId="77777777" w:rsidR="00616381" w:rsidRPr="00F652D9" w:rsidRDefault="00616381" w:rsidP="00616381">
      <w:pPr>
        <w:jc w:val="both"/>
      </w:pPr>
      <w:r w:rsidRPr="00F652D9">
        <w:t>Cette étude dépendra également de la révision de données secondaires présentées dans les analyses contextuelles et les recherches réalisées tout au long de la phase de conception du projet. La méthodologie devrait également prendre en compte les données nationales disponibles auprès des acteurs gouvernementaux concernés et des sources d'information officielles. Le/la consultant/e devra examiner les documents de base du projet et les évaluations pertinentes à partir desquels le/la consultant/e devra extraire toutes les informations de base pertinentes déjà disponibles pour des indicateurs spécifiques et éviter toute réplication potentielle.</w:t>
      </w:r>
    </w:p>
    <w:p w14:paraId="480E9789" w14:textId="0F56D240" w:rsidR="009F4787" w:rsidRPr="00F652D9" w:rsidRDefault="009F4787" w:rsidP="00565016">
      <w:pPr>
        <w:jc w:val="both"/>
        <w:rPr>
          <w:b/>
          <w:bCs/>
        </w:rPr>
      </w:pPr>
    </w:p>
    <w:p w14:paraId="1FB589B8" w14:textId="4AAAF18A" w:rsidR="00565016" w:rsidRPr="00F652D9" w:rsidRDefault="00565016" w:rsidP="00565016">
      <w:pPr>
        <w:pStyle w:val="Prrafodelista"/>
        <w:numPr>
          <w:ilvl w:val="0"/>
          <w:numId w:val="1"/>
        </w:numPr>
        <w:jc w:val="both"/>
        <w:rPr>
          <w:b/>
          <w:bCs/>
        </w:rPr>
      </w:pPr>
      <w:r w:rsidRPr="00F652D9">
        <w:rPr>
          <w:b/>
          <w:bCs/>
        </w:rPr>
        <w:t>Livrables</w:t>
      </w:r>
    </w:p>
    <w:p w14:paraId="12710EC5" w14:textId="76DD400B" w:rsidR="00565016" w:rsidRPr="00F652D9" w:rsidRDefault="00565016" w:rsidP="00565016">
      <w:r w:rsidRPr="00F652D9">
        <w:t>Le/la consultant/e devra soumettre trois livrables au cours de sa mission :</w:t>
      </w:r>
    </w:p>
    <w:tbl>
      <w:tblPr>
        <w:tblStyle w:val="Tablaconcuadrcula4-nfasis3"/>
        <w:tblW w:w="9067" w:type="dxa"/>
        <w:tblLook w:val="04A0" w:firstRow="1" w:lastRow="0" w:firstColumn="1" w:lastColumn="0" w:noHBand="0" w:noVBand="1"/>
      </w:tblPr>
      <w:tblGrid>
        <w:gridCol w:w="1389"/>
        <w:gridCol w:w="6403"/>
        <w:gridCol w:w="1275"/>
      </w:tblGrid>
      <w:tr w:rsidR="00741DE4" w:rsidRPr="00F86B08" w14:paraId="77470FE3" w14:textId="77777777" w:rsidTr="00F86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Align w:val="center"/>
          </w:tcPr>
          <w:p w14:paraId="00BF6D36" w14:textId="77777777" w:rsidR="00741DE4" w:rsidRPr="00F86B08" w:rsidRDefault="00741DE4" w:rsidP="00525D22">
            <w:pPr>
              <w:spacing w:after="120"/>
              <w:jc w:val="center"/>
              <w:rPr>
                <w:rFonts w:ascii="Verdana" w:hAnsi="Verdana" w:cs="Times New Roman"/>
                <w:color w:val="171717" w:themeColor="background2" w:themeShade="1A"/>
                <w:sz w:val="20"/>
                <w:szCs w:val="20"/>
              </w:rPr>
            </w:pPr>
            <w:r w:rsidRPr="00F86B08">
              <w:rPr>
                <w:rFonts w:ascii="Verdana" w:hAnsi="Verdana" w:cs="Times New Roman"/>
                <w:color w:val="171717" w:themeColor="background2" w:themeShade="1A"/>
                <w:sz w:val="20"/>
                <w:szCs w:val="20"/>
              </w:rPr>
              <w:t>N°</w:t>
            </w:r>
          </w:p>
        </w:tc>
        <w:tc>
          <w:tcPr>
            <w:tcW w:w="6403" w:type="dxa"/>
            <w:vAlign w:val="center"/>
          </w:tcPr>
          <w:p w14:paraId="4ACD6A76" w14:textId="5DB866A4" w:rsidR="00741DE4" w:rsidRPr="00F86B08" w:rsidRDefault="00C043D0" w:rsidP="00525D22">
            <w:pPr>
              <w:spacing w:after="12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color w:val="171717" w:themeColor="background2" w:themeShade="1A"/>
                <w:sz w:val="20"/>
                <w:szCs w:val="20"/>
              </w:rPr>
            </w:pPr>
            <w:r w:rsidRPr="00F86B08">
              <w:rPr>
                <w:rFonts w:ascii="Verdana" w:hAnsi="Verdana" w:cs="Times New Roman"/>
                <w:color w:val="171717" w:themeColor="background2" w:themeShade="1A"/>
                <w:sz w:val="20"/>
                <w:szCs w:val="20"/>
              </w:rPr>
              <w:t xml:space="preserve">Livrables </w:t>
            </w:r>
          </w:p>
        </w:tc>
        <w:tc>
          <w:tcPr>
            <w:tcW w:w="1275" w:type="dxa"/>
          </w:tcPr>
          <w:p w14:paraId="457A1366" w14:textId="06469259" w:rsidR="00741DE4" w:rsidRPr="00F86B08" w:rsidRDefault="00C043D0" w:rsidP="00525D22">
            <w:pPr>
              <w:spacing w:after="12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color w:val="171717" w:themeColor="background2" w:themeShade="1A"/>
                <w:sz w:val="20"/>
                <w:szCs w:val="20"/>
              </w:rPr>
            </w:pPr>
            <w:r w:rsidRPr="00F86B08">
              <w:rPr>
                <w:rFonts w:ascii="Verdana" w:hAnsi="Verdana" w:cs="Times New Roman"/>
                <w:color w:val="171717" w:themeColor="background2" w:themeShade="1A"/>
                <w:sz w:val="20"/>
                <w:szCs w:val="20"/>
              </w:rPr>
              <w:t xml:space="preserve"> Période</w:t>
            </w:r>
          </w:p>
        </w:tc>
      </w:tr>
      <w:tr w:rsidR="00741DE4" w:rsidRPr="00F86B08" w14:paraId="1668D895" w14:textId="77777777" w:rsidTr="00F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7C395D84" w14:textId="5C6921F8" w:rsidR="00503D89" w:rsidRPr="00F86B08" w:rsidRDefault="00503D89" w:rsidP="00525D22">
            <w:pPr>
              <w:spacing w:after="120"/>
              <w:jc w:val="center"/>
              <w:rPr>
                <w:rFonts w:ascii="Verdana" w:hAnsi="Verdana" w:cs="Times New Roman"/>
                <w:b w:val="0"/>
                <w:sz w:val="20"/>
                <w:szCs w:val="20"/>
              </w:rPr>
            </w:pPr>
            <w:r w:rsidRPr="00F86B08">
              <w:rPr>
                <w:rFonts w:ascii="Verdana" w:hAnsi="Verdana" w:cs="Times New Roman"/>
                <w:b w:val="0"/>
                <w:sz w:val="20"/>
                <w:szCs w:val="20"/>
              </w:rPr>
              <w:t xml:space="preserve">Premier </w:t>
            </w:r>
          </w:p>
        </w:tc>
        <w:tc>
          <w:tcPr>
            <w:tcW w:w="6403" w:type="dxa"/>
          </w:tcPr>
          <w:p w14:paraId="7BB13031" w14:textId="4849056E" w:rsidR="00503D89" w:rsidRPr="00F86B08" w:rsidRDefault="00503D89"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 xml:space="preserve">Une </w:t>
            </w:r>
            <w:r w:rsidR="00C043D0" w:rsidRPr="00F86B08">
              <w:rPr>
                <w:rFonts w:ascii="Verdana" w:hAnsi="Verdana" w:cs="Times New Roman"/>
                <w:sz w:val="20"/>
                <w:szCs w:val="20"/>
              </w:rPr>
              <w:t>proposition</w:t>
            </w:r>
            <w:r w:rsidRPr="00F86B08">
              <w:rPr>
                <w:rFonts w:ascii="Verdana" w:hAnsi="Verdana" w:cs="Times New Roman"/>
                <w:sz w:val="20"/>
                <w:szCs w:val="20"/>
              </w:rPr>
              <w:t xml:space="preserve"> méthodologique, </w:t>
            </w:r>
            <w:r w:rsidR="00C043D0" w:rsidRPr="00F86B08">
              <w:rPr>
                <w:rFonts w:ascii="Verdana" w:hAnsi="Verdana" w:cs="Times New Roman"/>
                <w:sz w:val="20"/>
                <w:szCs w:val="20"/>
              </w:rPr>
              <w:t>en particulier le plan de travail qui devrait avoir au moins :</w:t>
            </w:r>
          </w:p>
          <w:p w14:paraId="4178F5D9" w14:textId="34621ABD" w:rsidR="00C043D0" w:rsidRPr="00F86B08" w:rsidRDefault="00C043D0" w:rsidP="00C043D0">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 Conception de l'étude pour réaliser le diagnostic (proposition de contenu).</w:t>
            </w:r>
          </w:p>
          <w:p w14:paraId="2DFD6D7A" w14:textId="0734C470" w:rsidR="00C043D0" w:rsidRPr="00F86B08" w:rsidRDefault="00C043D0" w:rsidP="00741DE4">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Planification des activités dans les régions ;</w:t>
            </w:r>
          </w:p>
          <w:p w14:paraId="7388E412" w14:textId="2F0B04A7" w:rsidR="00C043D0" w:rsidRPr="00F86B08" w:rsidRDefault="00C043D0" w:rsidP="00741DE4">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Planification des activités du cabinet ;</w:t>
            </w:r>
          </w:p>
          <w:p w14:paraId="079843D2" w14:textId="54BE58DA" w:rsidR="00C043D0" w:rsidRPr="00F86B08" w:rsidRDefault="00C043D0" w:rsidP="00741DE4">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Identification des objectives de l’étude ;</w:t>
            </w:r>
          </w:p>
          <w:p w14:paraId="5C67C81B" w14:textId="769ADE99" w:rsidR="00EA7FA6" w:rsidRPr="00F86B08" w:rsidRDefault="00EA7FA6" w:rsidP="00741DE4">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Méthodologie à utiliser et instruments de collecte d'informations pour la collecte de données.</w:t>
            </w:r>
          </w:p>
          <w:p w14:paraId="07A4711D" w14:textId="65686661" w:rsidR="00EA7FA6" w:rsidRPr="00F86B08" w:rsidRDefault="00EA7FA6" w:rsidP="00741DE4">
            <w:pPr>
              <w:pStyle w:val="Prrafodelista"/>
              <w:numPr>
                <w:ilvl w:val="0"/>
                <w:numId w:val="25"/>
              </w:numPr>
              <w:spacing w:after="120"/>
              <w:ind w:left="69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Chronogramme des activités de l’étude, inclus la description de taches à réaliser, le temps et les ressources nécessaires.</w:t>
            </w:r>
          </w:p>
          <w:p w14:paraId="35292187" w14:textId="55DD45AE" w:rsidR="00EA7FA6" w:rsidRPr="00F86B08" w:rsidRDefault="00EA7FA6" w:rsidP="00525D22">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 xml:space="preserve">Le paiement de 10% du montant global, à la présentation et approbation de livrable 1. </w:t>
            </w:r>
          </w:p>
        </w:tc>
        <w:tc>
          <w:tcPr>
            <w:tcW w:w="1275" w:type="dxa"/>
            <w:vAlign w:val="center"/>
          </w:tcPr>
          <w:p w14:paraId="05F801C7" w14:textId="24C70818" w:rsidR="00741DE4" w:rsidRPr="00F86B08" w:rsidRDefault="0064276B" w:rsidP="00525D22">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Au 10 jours</w:t>
            </w:r>
          </w:p>
        </w:tc>
      </w:tr>
      <w:tr w:rsidR="00741DE4" w:rsidRPr="00F86B08" w14:paraId="5391061B" w14:textId="77777777" w:rsidTr="00F86B08">
        <w:tc>
          <w:tcPr>
            <w:cnfStyle w:val="001000000000" w:firstRow="0" w:lastRow="0" w:firstColumn="1" w:lastColumn="0" w:oddVBand="0" w:evenVBand="0" w:oddHBand="0" w:evenHBand="0" w:firstRowFirstColumn="0" w:firstRowLastColumn="0" w:lastRowFirstColumn="0" w:lastRowLastColumn="0"/>
            <w:tcW w:w="1389" w:type="dxa"/>
          </w:tcPr>
          <w:p w14:paraId="38297EDC" w14:textId="028E3912" w:rsidR="00741DE4" w:rsidRPr="00F86B08" w:rsidRDefault="00741DE4" w:rsidP="00525D22">
            <w:pPr>
              <w:spacing w:after="120"/>
              <w:jc w:val="center"/>
              <w:rPr>
                <w:rFonts w:ascii="Verdana" w:hAnsi="Verdana" w:cs="Times New Roman"/>
                <w:bCs w:val="0"/>
                <w:sz w:val="20"/>
                <w:szCs w:val="20"/>
              </w:rPr>
            </w:pPr>
          </w:p>
          <w:p w14:paraId="4F4982D3" w14:textId="0C7AAB9C" w:rsidR="00EA7FA6" w:rsidRPr="00F86B08" w:rsidRDefault="00EA7FA6" w:rsidP="00525D22">
            <w:pPr>
              <w:spacing w:after="120"/>
              <w:jc w:val="center"/>
              <w:rPr>
                <w:rFonts w:ascii="Verdana" w:hAnsi="Verdana" w:cs="Times New Roman"/>
                <w:b w:val="0"/>
                <w:sz w:val="20"/>
                <w:szCs w:val="20"/>
              </w:rPr>
            </w:pPr>
            <w:r w:rsidRPr="00F86B08">
              <w:rPr>
                <w:rFonts w:ascii="Verdana" w:hAnsi="Verdana" w:cs="Times New Roman"/>
                <w:b w:val="0"/>
                <w:sz w:val="20"/>
                <w:szCs w:val="20"/>
              </w:rPr>
              <w:t>2éme</w:t>
            </w:r>
          </w:p>
        </w:tc>
        <w:tc>
          <w:tcPr>
            <w:tcW w:w="6403" w:type="dxa"/>
          </w:tcPr>
          <w:p w14:paraId="45A0945D" w14:textId="278793DB" w:rsidR="00EA7FA6" w:rsidRPr="00F86B08" w:rsidRDefault="00F86B08" w:rsidP="00741DE4">
            <w:pPr>
              <w:pStyle w:val="Prrafodelista"/>
              <w:numPr>
                <w:ilvl w:val="0"/>
                <w:numId w:val="24"/>
              </w:numPr>
              <w:spacing w:after="120"/>
              <w:ind w:left="341" w:hanging="283"/>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Présentation</w:t>
            </w:r>
            <w:r w:rsidR="00EA7FA6" w:rsidRPr="00F86B08">
              <w:rPr>
                <w:rFonts w:ascii="Verdana" w:hAnsi="Verdana" w:cs="Times New Roman"/>
                <w:sz w:val="20"/>
                <w:szCs w:val="20"/>
              </w:rPr>
              <w:t xml:space="preserve"> de draft du diagnostic inclus, les conclusions préliminaires des entreprises vertes potentielles prioritaires et les entreprises potentielles identifiées ; spécifiquement leurs besoins et intérêts à avoir des fournisseurs verts, la concurrence, les prix du marché et les formes de commercialisation, des informations systématisées.</w:t>
            </w:r>
          </w:p>
          <w:p w14:paraId="0DEEAB7E" w14:textId="77777777" w:rsidR="00741DE4" w:rsidRPr="00F86B08" w:rsidRDefault="00741DE4" w:rsidP="00741DE4">
            <w:pPr>
              <w:pStyle w:val="Prrafodelista"/>
              <w:numPr>
                <w:ilvl w:val="0"/>
                <w:numId w:val="24"/>
              </w:numPr>
              <w:spacing w:after="120"/>
              <w:ind w:left="341" w:hanging="283"/>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lang w:val="es-ES"/>
              </w:rPr>
            </w:pPr>
            <w:r w:rsidRPr="00F86B08">
              <w:rPr>
                <w:rFonts w:ascii="Verdana" w:hAnsi="Verdana" w:cs="Times New Roman"/>
                <w:sz w:val="20"/>
                <w:szCs w:val="20"/>
                <w:lang w:val="es-ES"/>
              </w:rPr>
              <w:t xml:space="preserve">Con la presentación y aprobación del entregable 2 se procederá al pago del 35% del valor del contrato. </w:t>
            </w:r>
          </w:p>
          <w:p w14:paraId="1B37F5E0" w14:textId="45710362" w:rsidR="00EA7FA6" w:rsidRPr="00F86B08" w:rsidRDefault="00EA7FA6" w:rsidP="00F86B08">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Le paiement de 35% du montant global, à la présentation et approbation de livrable 2.</w:t>
            </w:r>
          </w:p>
        </w:tc>
        <w:tc>
          <w:tcPr>
            <w:tcW w:w="1275" w:type="dxa"/>
            <w:vAlign w:val="center"/>
          </w:tcPr>
          <w:p w14:paraId="4CE04A59" w14:textId="6EF630CC" w:rsidR="00741DE4" w:rsidRPr="00F86B08" w:rsidRDefault="0064276B" w:rsidP="00525D22">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Au 50 jours</w:t>
            </w:r>
          </w:p>
        </w:tc>
      </w:tr>
      <w:tr w:rsidR="00741DE4" w:rsidRPr="00F86B08" w14:paraId="01152F8A" w14:textId="77777777" w:rsidTr="00F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7A00C2CD" w14:textId="75BAF8A5" w:rsidR="00741DE4" w:rsidRPr="00F86B08" w:rsidRDefault="00741DE4" w:rsidP="00525D22">
            <w:pPr>
              <w:spacing w:after="120"/>
              <w:jc w:val="center"/>
              <w:rPr>
                <w:rFonts w:ascii="Verdana" w:hAnsi="Verdana" w:cs="Times New Roman"/>
                <w:bCs w:val="0"/>
                <w:sz w:val="20"/>
                <w:szCs w:val="20"/>
              </w:rPr>
            </w:pPr>
          </w:p>
          <w:p w14:paraId="7DA42879" w14:textId="7033A6EA" w:rsidR="00EA7FA6" w:rsidRPr="00F86B08" w:rsidRDefault="00EA7FA6" w:rsidP="00525D22">
            <w:pPr>
              <w:spacing w:after="120"/>
              <w:jc w:val="center"/>
              <w:rPr>
                <w:rFonts w:ascii="Verdana" w:hAnsi="Verdana" w:cs="Times New Roman"/>
                <w:b w:val="0"/>
                <w:sz w:val="20"/>
                <w:szCs w:val="20"/>
              </w:rPr>
            </w:pPr>
            <w:r w:rsidRPr="00F86B08">
              <w:rPr>
                <w:rFonts w:ascii="Verdana" w:hAnsi="Verdana" w:cs="Times New Roman"/>
                <w:b w:val="0"/>
                <w:sz w:val="20"/>
                <w:szCs w:val="20"/>
              </w:rPr>
              <w:lastRenderedPageBreak/>
              <w:t>3éme</w:t>
            </w:r>
          </w:p>
        </w:tc>
        <w:tc>
          <w:tcPr>
            <w:tcW w:w="6403" w:type="dxa"/>
          </w:tcPr>
          <w:p w14:paraId="3029E371" w14:textId="0E98D19C" w:rsidR="00EA7FA6" w:rsidRPr="00F86B08" w:rsidRDefault="00EA7FA6" w:rsidP="00525D22">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lastRenderedPageBreak/>
              <w:t>Rapport du diagnostic, inclus la base des données, devrait avoir au moins les points suivants</w:t>
            </w:r>
            <w:r w:rsidR="0064276B" w:rsidRPr="00F86B08">
              <w:rPr>
                <w:rFonts w:ascii="Verdana" w:hAnsi="Verdana" w:cs="Times New Roman"/>
                <w:sz w:val="20"/>
                <w:szCs w:val="20"/>
              </w:rPr>
              <w:t xml:space="preserve"> : </w:t>
            </w:r>
          </w:p>
          <w:p w14:paraId="2314C568" w14:textId="17AE10A9"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lastRenderedPageBreak/>
              <w:t>Résumé exécutif</w:t>
            </w:r>
          </w:p>
          <w:p w14:paraId="628DC4F5" w14:textId="14336F27" w:rsidR="0064276B" w:rsidRPr="00F86B08" w:rsidRDefault="0064276B" w:rsidP="00F86B08">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 xml:space="preserve">Introduction </w:t>
            </w:r>
          </w:p>
          <w:p w14:paraId="77F3B1CA" w14:textId="188687C8"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Objectifs</w:t>
            </w:r>
          </w:p>
          <w:p w14:paraId="7338BA94" w14:textId="4129248C" w:rsidR="0064276B" w:rsidRPr="00F86B08" w:rsidRDefault="00F86B08"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Méthodologie utilisée</w:t>
            </w:r>
          </w:p>
          <w:p w14:paraId="367BCCA6" w14:textId="27A955EC" w:rsidR="00741DE4" w:rsidRPr="00F86B08" w:rsidRDefault="0064276B" w:rsidP="00F86B08">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Secteurs priorisés</w:t>
            </w:r>
          </w:p>
          <w:p w14:paraId="60607B79" w14:textId="55A5642F"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Détails des opportunités de l’entreprenariat vert identifié.</w:t>
            </w:r>
          </w:p>
          <w:p w14:paraId="28AFDA3B" w14:textId="04ECF127"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Des entreprises privées pour chaque entreprise verte et sa demande potentielle existante.</w:t>
            </w:r>
          </w:p>
          <w:p w14:paraId="09E893A2" w14:textId="3F85C4ED" w:rsidR="00741DE4" w:rsidRPr="00F86B08" w:rsidRDefault="0064276B" w:rsidP="00F86B08">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Technologie nécessaire pour la mise en œuvre de l'entreprise</w:t>
            </w:r>
          </w:p>
          <w:p w14:paraId="682E9041" w14:textId="62462AEE"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Cartographie des acteurs intermédiaires entre les entrepreneurs et les entreprises acheteuses.</w:t>
            </w:r>
          </w:p>
          <w:p w14:paraId="6D51105E" w14:textId="4A7D7A81"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Obstacles et atouts existants pour la production et la commercialisation de produits et services verts.</w:t>
            </w:r>
          </w:p>
          <w:p w14:paraId="5AC5A9A6" w14:textId="696773D1"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Analyses des données</w:t>
            </w:r>
          </w:p>
          <w:p w14:paraId="0BDEF085" w14:textId="72928E8D"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 xml:space="preserve">Bases de </w:t>
            </w:r>
            <w:r w:rsidR="00F86B08" w:rsidRPr="00F86B08">
              <w:rPr>
                <w:rFonts w:ascii="Verdana" w:hAnsi="Verdana" w:cs="Times New Roman"/>
                <w:sz w:val="20"/>
                <w:szCs w:val="20"/>
              </w:rPr>
              <w:t>données utilisées</w:t>
            </w:r>
          </w:p>
          <w:p w14:paraId="08C13A04" w14:textId="171620CF"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Conclusion</w:t>
            </w:r>
          </w:p>
          <w:p w14:paraId="65F1C375" w14:textId="235F3249"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Recommandations</w:t>
            </w:r>
          </w:p>
          <w:p w14:paraId="20635E51" w14:textId="0B68987A" w:rsidR="0064276B" w:rsidRPr="00F86B08" w:rsidRDefault="0064276B" w:rsidP="00741DE4">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Contacts des entreprises avec demandes existantes et potentiel de l’entreprenariat vert</w:t>
            </w:r>
          </w:p>
          <w:p w14:paraId="46F020AB" w14:textId="525C7718" w:rsidR="00741DE4" w:rsidRPr="00F86B08" w:rsidRDefault="0064276B" w:rsidP="00F86B08">
            <w:pPr>
              <w:pStyle w:val="Prrafodelista"/>
              <w:numPr>
                <w:ilvl w:val="0"/>
                <w:numId w:val="24"/>
              </w:numPr>
              <w:spacing w:after="120"/>
              <w:ind w:left="341" w:hanging="283"/>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Annexes</w:t>
            </w:r>
          </w:p>
          <w:p w14:paraId="091CD7D7" w14:textId="3A7955A5" w:rsidR="0064276B" w:rsidRPr="00F86B08" w:rsidRDefault="0064276B" w:rsidP="00525D22">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t>Le paiement de 55% du montant global, à la présentation et approbation de livrable 3.</w:t>
            </w:r>
          </w:p>
        </w:tc>
        <w:tc>
          <w:tcPr>
            <w:tcW w:w="1275" w:type="dxa"/>
            <w:vAlign w:val="center"/>
          </w:tcPr>
          <w:p w14:paraId="3291090E" w14:textId="115A496E" w:rsidR="00741DE4" w:rsidRPr="00F86B08" w:rsidRDefault="0064276B" w:rsidP="00525D22">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F86B08">
              <w:rPr>
                <w:rFonts w:ascii="Verdana" w:hAnsi="Verdana" w:cs="Times New Roman"/>
                <w:sz w:val="20"/>
                <w:szCs w:val="20"/>
              </w:rPr>
              <w:lastRenderedPageBreak/>
              <w:t>Au 90 jours</w:t>
            </w:r>
          </w:p>
        </w:tc>
      </w:tr>
    </w:tbl>
    <w:p w14:paraId="2285C410" w14:textId="77777777" w:rsidR="00741DE4" w:rsidRPr="00F652D9" w:rsidRDefault="00741DE4" w:rsidP="00565016"/>
    <w:p w14:paraId="1FF613F5" w14:textId="4FC28452" w:rsidR="00565016" w:rsidRPr="00F652D9" w:rsidRDefault="00565016" w:rsidP="00565016">
      <w:pPr>
        <w:jc w:val="both"/>
        <w:rPr>
          <w:rFonts w:eastAsia="Calibri" w:cs="Calibri Light"/>
          <w:szCs w:val="20"/>
        </w:rPr>
      </w:pPr>
      <w:r w:rsidRPr="00F652D9">
        <w:rPr>
          <w:rFonts w:eastAsia="Calibri" w:cs="Calibri Light"/>
          <w:szCs w:val="20"/>
        </w:rPr>
        <w:t>Les rapports peuvent être rédigés en français ou en espagnol.</w:t>
      </w:r>
    </w:p>
    <w:p w14:paraId="0039D05F" w14:textId="77777777" w:rsidR="001D09CC" w:rsidRPr="00F86B08" w:rsidRDefault="001D09CC" w:rsidP="00F86B08">
      <w:pPr>
        <w:jc w:val="both"/>
        <w:rPr>
          <w:b/>
          <w:bCs/>
        </w:rPr>
      </w:pPr>
    </w:p>
    <w:p w14:paraId="6EAB27B9" w14:textId="02C6BACD" w:rsidR="00374E00" w:rsidRPr="00F652D9" w:rsidRDefault="00374E00" w:rsidP="00374E00">
      <w:pPr>
        <w:pStyle w:val="Prrafodelista"/>
        <w:numPr>
          <w:ilvl w:val="0"/>
          <w:numId w:val="1"/>
        </w:numPr>
        <w:jc w:val="both"/>
        <w:rPr>
          <w:b/>
          <w:bCs/>
        </w:rPr>
      </w:pPr>
      <w:r w:rsidRPr="00F652D9">
        <w:rPr>
          <w:b/>
          <w:bCs/>
        </w:rPr>
        <w:t>Qualifications, compétences et expertise minimales requises</w:t>
      </w:r>
    </w:p>
    <w:p w14:paraId="371FCCA8" w14:textId="77777777" w:rsidR="00374E00" w:rsidRPr="00F652D9" w:rsidRDefault="00374E00" w:rsidP="00374E00">
      <w:pPr>
        <w:pStyle w:val="Ttulo2"/>
        <w:rPr>
          <w:rFonts w:ascii="Verdana" w:hAnsi="Verdana" w:cs="Calibri Light"/>
          <w:sz w:val="20"/>
          <w:szCs w:val="20"/>
        </w:rPr>
      </w:pPr>
      <w:r w:rsidRPr="00F652D9">
        <w:rPr>
          <w:rFonts w:ascii="Verdana" w:hAnsi="Verdana" w:cs="Calibri Light"/>
          <w:sz w:val="20"/>
          <w:szCs w:val="20"/>
        </w:rPr>
        <w:t>Qualifications</w:t>
      </w:r>
    </w:p>
    <w:p w14:paraId="13AC08B8" w14:textId="34E1ED35" w:rsidR="00374E00" w:rsidRPr="00F652D9" w:rsidRDefault="00374E00" w:rsidP="00374E00">
      <w:pPr>
        <w:jc w:val="both"/>
        <w:rPr>
          <w:rFonts w:cs="Calibri Light"/>
          <w:szCs w:val="20"/>
          <w:lang w:eastAsia="fr-FR"/>
        </w:rPr>
      </w:pPr>
      <w:r w:rsidRPr="00F652D9">
        <w:rPr>
          <w:rFonts w:cs="Calibri Light"/>
          <w:szCs w:val="20"/>
          <w:lang w:eastAsia="fr-FR"/>
        </w:rPr>
        <w:t>Les qualifications, l'expérience et les compétences minimales requises sont les suivantes :</w:t>
      </w:r>
    </w:p>
    <w:p w14:paraId="49D73D28" w14:textId="77777777" w:rsidR="00374E00" w:rsidRPr="00F652D9" w:rsidRDefault="00374E00" w:rsidP="00374E00">
      <w:pPr>
        <w:jc w:val="both"/>
        <w:rPr>
          <w:rFonts w:cs="Calibri Light"/>
          <w:szCs w:val="20"/>
          <w:lang w:eastAsia="fr-FR"/>
        </w:rPr>
      </w:pPr>
      <w:r w:rsidRPr="00F652D9">
        <w:rPr>
          <w:rFonts w:cs="Calibri Light"/>
          <w:szCs w:val="20"/>
          <w:u w:val="single"/>
          <w:lang w:eastAsia="fr-FR"/>
        </w:rPr>
        <w:t>Qualifications académiques</w:t>
      </w:r>
      <w:r w:rsidRPr="00F652D9">
        <w:rPr>
          <w:rFonts w:cs="Calibri Light"/>
          <w:szCs w:val="20"/>
          <w:lang w:eastAsia="fr-FR"/>
        </w:rPr>
        <w:t> :</w:t>
      </w:r>
    </w:p>
    <w:p w14:paraId="6151F7DA" w14:textId="3F8367FB"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Être titulaire d’un diplôme universitaire BAC+5 au minimum, dans les domaines de</w:t>
      </w:r>
      <w:r w:rsidR="00CA22E8">
        <w:rPr>
          <w:rFonts w:cs="Calibri Light"/>
          <w:szCs w:val="20"/>
          <w:lang w:eastAsia="fr-FR"/>
        </w:rPr>
        <w:t xml:space="preserve"> </w:t>
      </w:r>
      <w:r w:rsidR="00F86B08">
        <w:rPr>
          <w:rFonts w:cs="Calibri Light"/>
          <w:szCs w:val="20"/>
          <w:lang w:eastAsia="fr-FR"/>
        </w:rPr>
        <w:t>développement</w:t>
      </w:r>
      <w:r w:rsidR="00CA22E8">
        <w:rPr>
          <w:rFonts w:cs="Calibri Light"/>
          <w:szCs w:val="20"/>
          <w:lang w:eastAsia="fr-FR"/>
        </w:rPr>
        <w:t xml:space="preserve"> des affaires, gestion des </w:t>
      </w:r>
      <w:r w:rsidR="00F86B08">
        <w:rPr>
          <w:rFonts w:cs="Calibri Light"/>
          <w:szCs w:val="20"/>
          <w:lang w:eastAsia="fr-FR"/>
        </w:rPr>
        <w:t>entreprises</w:t>
      </w:r>
      <w:r w:rsidR="00CA22E8">
        <w:rPr>
          <w:rFonts w:cs="Calibri Light"/>
          <w:szCs w:val="20"/>
          <w:lang w:eastAsia="fr-FR"/>
        </w:rPr>
        <w:t>, ou autres domaines similaires ;</w:t>
      </w:r>
      <w:r w:rsidRPr="00F652D9">
        <w:rPr>
          <w:rFonts w:cs="Calibri Light"/>
          <w:szCs w:val="20"/>
          <w:lang w:eastAsia="fr-FR"/>
        </w:rPr>
        <w:t xml:space="preserve"> </w:t>
      </w:r>
    </w:p>
    <w:p w14:paraId="209E5B9C" w14:textId="77777777"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Posséder des qualifications appropriées dans des domaines tels que l’entreprenariat, l’économie solidaire, l’agroalimentaire, l’égalité entre les genres et l’inclusion sociale, le marketing, l'administration publique ou tout autre domaine pertinent mettant l'accent sur l'autonomisation et le développement économique des femmes.</w:t>
      </w:r>
    </w:p>
    <w:p w14:paraId="404AB0B4" w14:textId="6E48BCB0"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Maîtriser parfaitement le français et l’arabe, à l’écrit comme à l’oral, l’espagnol sera un atout.</w:t>
      </w:r>
    </w:p>
    <w:p w14:paraId="067C2A38" w14:textId="34A86D53" w:rsidR="00CA22E8" w:rsidRPr="00F652D9" w:rsidRDefault="00CA22E8" w:rsidP="00374E00">
      <w:pPr>
        <w:numPr>
          <w:ilvl w:val="0"/>
          <w:numId w:val="19"/>
        </w:numPr>
        <w:spacing w:after="0" w:line="240" w:lineRule="auto"/>
        <w:jc w:val="both"/>
        <w:rPr>
          <w:rFonts w:cs="Calibri Light"/>
          <w:szCs w:val="20"/>
          <w:lang w:eastAsia="fr-FR"/>
        </w:rPr>
      </w:pPr>
      <w:r>
        <w:rPr>
          <w:rFonts w:cs="Calibri Light"/>
          <w:szCs w:val="20"/>
          <w:lang w:eastAsia="fr-FR"/>
        </w:rPr>
        <w:t>Disposer des certifications et formation</w:t>
      </w:r>
      <w:r w:rsidR="00503D89">
        <w:rPr>
          <w:rFonts w:cs="Calibri Light"/>
          <w:szCs w:val="20"/>
          <w:lang w:eastAsia="fr-FR"/>
        </w:rPr>
        <w:t>s</w:t>
      </w:r>
      <w:r>
        <w:rPr>
          <w:rFonts w:cs="Calibri Light"/>
          <w:szCs w:val="20"/>
          <w:lang w:eastAsia="fr-FR"/>
        </w:rPr>
        <w:t xml:space="preserve"> </w:t>
      </w:r>
      <w:r w:rsidR="00503D89">
        <w:rPr>
          <w:rFonts w:cs="Calibri Light"/>
          <w:szCs w:val="20"/>
          <w:lang w:eastAsia="fr-FR"/>
        </w:rPr>
        <w:t>sur l’</w:t>
      </w:r>
      <w:r w:rsidR="00F86B08">
        <w:rPr>
          <w:rFonts w:cs="Calibri Light"/>
          <w:szCs w:val="20"/>
          <w:lang w:eastAsia="fr-FR"/>
        </w:rPr>
        <w:t>entreprenariat</w:t>
      </w:r>
      <w:r w:rsidR="00503D89">
        <w:rPr>
          <w:rFonts w:cs="Calibri Light"/>
          <w:szCs w:val="20"/>
          <w:lang w:eastAsia="fr-FR"/>
        </w:rPr>
        <w:t xml:space="preserve"> verte et/ou l’économie circulaire.</w:t>
      </w:r>
    </w:p>
    <w:p w14:paraId="0C69CE79" w14:textId="77777777" w:rsidR="00374E00" w:rsidRPr="00F652D9" w:rsidRDefault="00374E00" w:rsidP="00374E00">
      <w:pPr>
        <w:jc w:val="both"/>
        <w:rPr>
          <w:rFonts w:cs="Calibri Light"/>
          <w:szCs w:val="20"/>
          <w:lang w:eastAsia="fr-FR"/>
        </w:rPr>
      </w:pPr>
    </w:p>
    <w:p w14:paraId="5222ACB5" w14:textId="77777777" w:rsidR="00374E00" w:rsidRPr="00F652D9" w:rsidRDefault="00374E00" w:rsidP="00374E00">
      <w:pPr>
        <w:jc w:val="both"/>
        <w:rPr>
          <w:rFonts w:cs="Calibri Light"/>
          <w:szCs w:val="20"/>
          <w:lang w:eastAsia="fr-FR"/>
        </w:rPr>
      </w:pPr>
      <w:r w:rsidRPr="00F652D9">
        <w:rPr>
          <w:rFonts w:cs="Calibri Light"/>
          <w:szCs w:val="20"/>
          <w:u w:val="single"/>
          <w:lang w:eastAsia="fr-FR"/>
        </w:rPr>
        <w:lastRenderedPageBreak/>
        <w:t>Qualité de l’expérience acquise</w:t>
      </w:r>
      <w:r w:rsidRPr="00F652D9">
        <w:rPr>
          <w:rFonts w:cs="Calibri Light"/>
          <w:szCs w:val="20"/>
          <w:lang w:eastAsia="fr-FR"/>
        </w:rPr>
        <w:t> :</w:t>
      </w:r>
    </w:p>
    <w:p w14:paraId="1959FA38" w14:textId="393F4CD1" w:rsidR="00503D89" w:rsidRPr="00F652D9" w:rsidRDefault="00503D89" w:rsidP="00374E00">
      <w:pPr>
        <w:numPr>
          <w:ilvl w:val="0"/>
          <w:numId w:val="19"/>
        </w:numPr>
        <w:spacing w:after="0" w:line="240" w:lineRule="auto"/>
        <w:jc w:val="both"/>
        <w:rPr>
          <w:rFonts w:cs="Calibri Light"/>
          <w:szCs w:val="20"/>
          <w:lang w:eastAsia="fr-FR"/>
        </w:rPr>
      </w:pPr>
      <w:r>
        <w:rPr>
          <w:rFonts w:cs="Calibri Light"/>
          <w:szCs w:val="20"/>
          <w:lang w:eastAsia="fr-FR"/>
        </w:rPr>
        <w:t>Disposer d’au mois de 5 ans d’</w:t>
      </w:r>
      <w:r w:rsidR="00F86B08">
        <w:rPr>
          <w:rFonts w:cs="Calibri Light"/>
          <w:szCs w:val="20"/>
          <w:lang w:eastAsia="fr-FR"/>
        </w:rPr>
        <w:t>expérience</w:t>
      </w:r>
      <w:r>
        <w:rPr>
          <w:rFonts w:cs="Calibri Light"/>
          <w:szCs w:val="20"/>
          <w:lang w:eastAsia="fr-FR"/>
        </w:rPr>
        <w:t xml:space="preserve"> en études de marché, de préférence au Maroc ou en nord de l’Afrique ;</w:t>
      </w:r>
    </w:p>
    <w:p w14:paraId="6411CE17" w14:textId="7C1FB947" w:rsidR="00741DE4" w:rsidRPr="00F86B08" w:rsidRDefault="00741DE4" w:rsidP="00374E00">
      <w:pPr>
        <w:numPr>
          <w:ilvl w:val="0"/>
          <w:numId w:val="19"/>
        </w:numPr>
        <w:spacing w:after="0" w:line="240" w:lineRule="auto"/>
        <w:jc w:val="both"/>
        <w:rPr>
          <w:rFonts w:cs="Calibri Light"/>
          <w:szCs w:val="20"/>
          <w:lang w:val="es-ES" w:eastAsia="fr-FR"/>
        </w:rPr>
      </w:pPr>
      <w:r w:rsidRPr="00F86B08">
        <w:rPr>
          <w:rFonts w:cs="Calibri Light"/>
          <w:szCs w:val="20"/>
          <w:lang w:val="es-ES" w:eastAsia="fr-FR"/>
        </w:rPr>
        <w:t xml:space="preserve">Demostrar haber contribuido al menos </w:t>
      </w:r>
      <w:r w:rsidR="008C518B" w:rsidRPr="00F86B08">
        <w:rPr>
          <w:rFonts w:cs="Calibri Light"/>
          <w:szCs w:val="20"/>
          <w:lang w:val="es-ES" w:eastAsia="fr-FR"/>
        </w:rPr>
        <w:t>3</w:t>
      </w:r>
      <w:r w:rsidRPr="00F86B08">
        <w:rPr>
          <w:rFonts w:cs="Calibri Light"/>
          <w:szCs w:val="20"/>
          <w:lang w:val="es-ES" w:eastAsia="fr-FR"/>
        </w:rPr>
        <w:t xml:space="preserve"> estudio</w:t>
      </w:r>
      <w:r w:rsidR="008C518B" w:rsidRPr="00F86B08">
        <w:rPr>
          <w:rFonts w:cs="Calibri Light"/>
          <w:szCs w:val="20"/>
          <w:lang w:val="es-ES" w:eastAsia="fr-FR"/>
        </w:rPr>
        <w:t>s</w:t>
      </w:r>
      <w:r w:rsidRPr="00F86B08">
        <w:rPr>
          <w:rFonts w:cs="Calibri Light"/>
          <w:szCs w:val="20"/>
          <w:lang w:val="es-ES" w:eastAsia="fr-FR"/>
        </w:rPr>
        <w:t xml:space="preserve"> sobre emprendimiento verde, preferiblemente en Marruecos o el Norte de África</w:t>
      </w:r>
    </w:p>
    <w:p w14:paraId="511C222B" w14:textId="3F5D224E"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Avoir une expérience prouvée et significative en analyse, traitement de données et statistiques et en matière de conduite de recherches/études/enquêtes.</w:t>
      </w:r>
    </w:p>
    <w:p w14:paraId="3F57A037" w14:textId="5C95169A"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Être familier/ère avec le travail avec la thématique de l’entreprenariat vert, les organisations communautaires/coopératives avec un accent particulier sur le genre, les questions d'autonomisation socio-économique.</w:t>
      </w:r>
    </w:p>
    <w:p w14:paraId="4439FA34" w14:textId="2C8742FC" w:rsidR="00374E00" w:rsidRPr="00F652D9" w:rsidRDefault="00374E00" w:rsidP="00374E00">
      <w:pPr>
        <w:numPr>
          <w:ilvl w:val="0"/>
          <w:numId w:val="19"/>
        </w:numPr>
        <w:spacing w:after="0" w:line="240" w:lineRule="auto"/>
        <w:jc w:val="both"/>
        <w:rPr>
          <w:rFonts w:cs="Calibri Light"/>
          <w:szCs w:val="20"/>
          <w:lang w:eastAsia="fr-FR"/>
        </w:rPr>
      </w:pPr>
      <w:r w:rsidRPr="00F652D9">
        <w:rPr>
          <w:rFonts w:cs="Calibri Light"/>
          <w:szCs w:val="20"/>
          <w:lang w:eastAsia="fr-FR"/>
        </w:rPr>
        <w:t xml:space="preserve">Avoir une expérience dans la gestion des études quantitatives et qualitatives </w:t>
      </w:r>
    </w:p>
    <w:p w14:paraId="5C218E3E" w14:textId="77777777" w:rsidR="00374E00" w:rsidRPr="00F652D9" w:rsidRDefault="00374E00" w:rsidP="00741DE4">
      <w:pPr>
        <w:spacing w:after="0" w:line="240" w:lineRule="auto"/>
        <w:ind w:left="360"/>
        <w:jc w:val="both"/>
        <w:rPr>
          <w:rFonts w:cs="Calibri Light"/>
          <w:szCs w:val="20"/>
          <w:lang w:eastAsia="fr-FR"/>
        </w:rPr>
      </w:pPr>
    </w:p>
    <w:p w14:paraId="7F407FCB" w14:textId="77777777" w:rsidR="00374E00" w:rsidRPr="00F652D9" w:rsidRDefault="00374E00" w:rsidP="00374E00">
      <w:pPr>
        <w:pStyle w:val="Ttulo2"/>
        <w:rPr>
          <w:rFonts w:ascii="Verdana" w:hAnsi="Verdana" w:cs="Calibri Light"/>
          <w:sz w:val="20"/>
          <w:szCs w:val="20"/>
        </w:rPr>
      </w:pPr>
      <w:r w:rsidRPr="00F652D9">
        <w:rPr>
          <w:rFonts w:ascii="Verdana" w:hAnsi="Verdana" w:cs="Calibri Light"/>
          <w:sz w:val="20"/>
          <w:szCs w:val="20"/>
        </w:rPr>
        <w:t>Compétences</w:t>
      </w:r>
    </w:p>
    <w:p w14:paraId="687385F4" w14:textId="39554FCC"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Excellente compréhension du contexte socio-culturel et économique au Maroc (expérience de travail dans la région Tanger-Tétouan-Al-Hoceima un atout).</w:t>
      </w:r>
    </w:p>
    <w:p w14:paraId="32E6E18B" w14:textId="77777777"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Connaissances approfondies et compétences analytiques basées sur des études, des recherches, des expériences ou des métiers dans des secteurs ciblés, des domaines thématiques du développement d’associations de base et d’entreprises.</w:t>
      </w:r>
    </w:p>
    <w:p w14:paraId="5E676DA8" w14:textId="77777777"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Pensée conceptuelle et critique ainsi que compétences analytiques.</w:t>
      </w:r>
    </w:p>
    <w:p w14:paraId="40E6AFE8" w14:textId="77777777"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Excellente maîtrise des méthodologies de recherche sociale (qualitatives et quantitatives).</w:t>
      </w:r>
    </w:p>
    <w:p w14:paraId="6CF72401" w14:textId="064F5547"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Aptitudes interpersonnelles et de communication avancées (verbales et écrites) en arabe et en français, l’espagnol un atout ;</w:t>
      </w:r>
    </w:p>
    <w:p w14:paraId="602D3A90" w14:textId="77777777" w:rsidR="00374E00" w:rsidRPr="00F652D9" w:rsidRDefault="00374E00" w:rsidP="00374E00">
      <w:pPr>
        <w:pStyle w:val="Textoindependiente"/>
        <w:numPr>
          <w:ilvl w:val="0"/>
          <w:numId w:val="20"/>
        </w:numPr>
        <w:ind w:left="426"/>
        <w:jc w:val="both"/>
        <w:rPr>
          <w:rFonts w:ascii="Verdana" w:hAnsi="Verdana" w:cs="Calibri Light"/>
          <w:i w:val="0"/>
          <w:lang w:val="fr-FR"/>
        </w:rPr>
      </w:pPr>
      <w:r w:rsidRPr="00F652D9">
        <w:rPr>
          <w:rFonts w:ascii="Verdana" w:hAnsi="Verdana" w:cs="Calibri Light"/>
          <w:i w:val="0"/>
          <w:lang w:val="fr-FR"/>
        </w:rPr>
        <w:t>Capacité d'organiser et de gérer tous les problèmes logistiques liés à la mise en œuvre de la mission.</w:t>
      </w:r>
    </w:p>
    <w:p w14:paraId="422C9E6C" w14:textId="77777777" w:rsidR="00374E00" w:rsidRPr="00F652D9" w:rsidRDefault="00374E00" w:rsidP="00374E00">
      <w:pPr>
        <w:pStyle w:val="Textoindependiente"/>
        <w:jc w:val="both"/>
        <w:rPr>
          <w:rFonts w:ascii="Calibri Light" w:hAnsi="Calibri Light" w:cs="Calibri Light"/>
          <w:i w:val="0"/>
          <w:sz w:val="22"/>
          <w:szCs w:val="22"/>
          <w:lang w:val="fr-FR"/>
        </w:rPr>
      </w:pPr>
    </w:p>
    <w:p w14:paraId="44C67598" w14:textId="77777777" w:rsidR="00374E00" w:rsidRPr="00F652D9" w:rsidRDefault="00374E00" w:rsidP="001D09CC">
      <w:pPr>
        <w:pStyle w:val="Prrafodelista"/>
        <w:jc w:val="both"/>
        <w:rPr>
          <w:b/>
          <w:bCs/>
        </w:rPr>
      </w:pPr>
    </w:p>
    <w:p w14:paraId="0C9A1254" w14:textId="77777777" w:rsidR="00374E00" w:rsidRPr="00F652D9" w:rsidRDefault="00374E00" w:rsidP="001D09CC">
      <w:pPr>
        <w:pStyle w:val="Prrafodelista"/>
        <w:numPr>
          <w:ilvl w:val="0"/>
          <w:numId w:val="1"/>
        </w:numPr>
        <w:jc w:val="both"/>
        <w:rPr>
          <w:b/>
          <w:bCs/>
        </w:rPr>
      </w:pPr>
      <w:r w:rsidRPr="00F652D9">
        <w:rPr>
          <w:b/>
          <w:bCs/>
        </w:rPr>
        <w:t>Évaluation des offres</w:t>
      </w:r>
    </w:p>
    <w:p w14:paraId="0DBDC648" w14:textId="77777777" w:rsidR="00374E00" w:rsidRPr="00F652D9" w:rsidRDefault="00374E00" w:rsidP="00374E00">
      <w:pPr>
        <w:pStyle w:val="Ttulo2"/>
        <w:rPr>
          <w:rFonts w:ascii="Verdana" w:hAnsi="Verdana" w:cs="Calibri Light"/>
          <w:sz w:val="20"/>
          <w:szCs w:val="20"/>
        </w:rPr>
      </w:pPr>
      <w:r w:rsidRPr="00F652D9">
        <w:rPr>
          <w:rFonts w:ascii="Verdana" w:hAnsi="Verdana" w:cs="Calibri Light"/>
          <w:sz w:val="20"/>
          <w:szCs w:val="20"/>
        </w:rPr>
        <w:t>Documents à inclure lors de la soumission de la proposition</w:t>
      </w:r>
    </w:p>
    <w:p w14:paraId="118ED351" w14:textId="18E31882" w:rsidR="00374E00" w:rsidRPr="00F652D9" w:rsidRDefault="00374E00" w:rsidP="00374E00">
      <w:pPr>
        <w:widowControl w:val="0"/>
        <w:autoSpaceDE w:val="0"/>
        <w:autoSpaceDN w:val="0"/>
        <w:adjustRightInd w:val="0"/>
        <w:jc w:val="both"/>
        <w:rPr>
          <w:rFonts w:cs="Calibri Light"/>
          <w:szCs w:val="20"/>
        </w:rPr>
      </w:pPr>
      <w:r w:rsidRPr="00F652D9">
        <w:rPr>
          <w:rFonts w:cs="Calibri Light"/>
          <w:szCs w:val="20"/>
        </w:rPr>
        <w:t>Le/la consultant/e doit soumettre les documents/informations suivants pour démontrer leurs qualifications :</w:t>
      </w:r>
    </w:p>
    <w:p w14:paraId="2F4D7A75" w14:textId="77777777" w:rsidR="00374E00" w:rsidRPr="00F652D9" w:rsidRDefault="00374E00" w:rsidP="00374E00">
      <w:pPr>
        <w:widowControl w:val="0"/>
        <w:autoSpaceDE w:val="0"/>
        <w:autoSpaceDN w:val="0"/>
        <w:adjustRightInd w:val="0"/>
        <w:jc w:val="both"/>
        <w:rPr>
          <w:rFonts w:cs="Calibri Light"/>
          <w:szCs w:val="20"/>
          <w:u w:val="single"/>
        </w:rPr>
      </w:pPr>
      <w:proofErr w:type="gramStart"/>
      <w:r w:rsidRPr="00F652D9">
        <w:rPr>
          <w:rFonts w:cs="Calibri Light"/>
          <w:b/>
          <w:szCs w:val="20"/>
          <w:u w:val="single"/>
        </w:rPr>
        <w:t>I:</w:t>
      </w:r>
      <w:proofErr w:type="gramEnd"/>
      <w:r w:rsidRPr="00F652D9">
        <w:rPr>
          <w:rFonts w:cs="Calibri Light"/>
          <w:b/>
          <w:szCs w:val="20"/>
          <w:u w:val="single"/>
        </w:rPr>
        <w:t xml:space="preserve"> Proposition technique</w:t>
      </w:r>
      <w:r w:rsidRPr="00F652D9">
        <w:rPr>
          <w:rFonts w:cs="Calibri Light"/>
          <w:szCs w:val="20"/>
        </w:rPr>
        <w:t xml:space="preserve"> (conformément aux Termes de Référence) </w:t>
      </w:r>
    </w:p>
    <w:p w14:paraId="4A5F9E8A" w14:textId="77777777" w:rsidR="00374E00" w:rsidRPr="00F652D9" w:rsidRDefault="00374E00" w:rsidP="00374E00">
      <w:pPr>
        <w:widowControl w:val="0"/>
        <w:autoSpaceDE w:val="0"/>
        <w:autoSpaceDN w:val="0"/>
        <w:adjustRightInd w:val="0"/>
        <w:jc w:val="both"/>
        <w:rPr>
          <w:rFonts w:cs="Calibri Light"/>
          <w:szCs w:val="20"/>
        </w:rPr>
      </w:pPr>
      <w:r w:rsidRPr="00F652D9">
        <w:rPr>
          <w:rFonts w:cs="Calibri Light"/>
          <w:szCs w:val="20"/>
        </w:rPr>
        <w:t xml:space="preserve">La proposition devrait contenir : </w:t>
      </w:r>
    </w:p>
    <w:p w14:paraId="5151EB46" w14:textId="77777777" w:rsidR="00374E00" w:rsidRPr="00F652D9" w:rsidRDefault="00374E00" w:rsidP="00374E00">
      <w:pPr>
        <w:widowControl w:val="0"/>
        <w:numPr>
          <w:ilvl w:val="0"/>
          <w:numId w:val="17"/>
        </w:numPr>
        <w:autoSpaceDE w:val="0"/>
        <w:autoSpaceDN w:val="0"/>
        <w:adjustRightInd w:val="0"/>
        <w:spacing w:after="0" w:line="240" w:lineRule="auto"/>
        <w:jc w:val="both"/>
        <w:rPr>
          <w:rFonts w:cs="Calibri Light"/>
          <w:szCs w:val="20"/>
        </w:rPr>
      </w:pPr>
      <w:r w:rsidRPr="00F652D9">
        <w:rPr>
          <w:rFonts w:cs="Calibri Light"/>
          <w:szCs w:val="20"/>
          <w:u w:val="single"/>
        </w:rPr>
        <w:t>Résumé Exécutif</w:t>
      </w:r>
      <w:r w:rsidRPr="00F652D9">
        <w:rPr>
          <w:rFonts w:cs="Calibri Light"/>
          <w:szCs w:val="20"/>
        </w:rPr>
        <w:t xml:space="preserve">, expliquant pourquoi le candidat est le mieux adapté au travail </w:t>
      </w:r>
    </w:p>
    <w:p w14:paraId="4EBBBFC9" w14:textId="77777777" w:rsidR="00374E00" w:rsidRPr="00F652D9" w:rsidRDefault="00374E00" w:rsidP="00374E00">
      <w:pPr>
        <w:widowControl w:val="0"/>
        <w:numPr>
          <w:ilvl w:val="0"/>
          <w:numId w:val="17"/>
        </w:numPr>
        <w:autoSpaceDE w:val="0"/>
        <w:autoSpaceDN w:val="0"/>
        <w:adjustRightInd w:val="0"/>
        <w:spacing w:after="0" w:line="240" w:lineRule="auto"/>
        <w:jc w:val="both"/>
        <w:rPr>
          <w:rFonts w:cs="Calibri Light"/>
          <w:szCs w:val="20"/>
        </w:rPr>
      </w:pPr>
      <w:r w:rsidRPr="00F652D9">
        <w:rPr>
          <w:rFonts w:cs="Calibri Light"/>
          <w:szCs w:val="20"/>
        </w:rPr>
        <w:t xml:space="preserve">Fournir une </w:t>
      </w:r>
      <w:r w:rsidRPr="00F652D9">
        <w:rPr>
          <w:rFonts w:cs="Calibri Light"/>
          <w:szCs w:val="20"/>
          <w:u w:val="single"/>
        </w:rPr>
        <w:t>méthodologie détaillée</w:t>
      </w:r>
      <w:r w:rsidRPr="00F652D9">
        <w:rPr>
          <w:rFonts w:cs="Calibri Light"/>
          <w:szCs w:val="20"/>
        </w:rPr>
        <w:t>, très bien élaborée sur la manière dont l'évaluation sera réalisée. Le/la consultant/e doit préciser comment il/elle compte traiter les différentes composantes de l’étude de base et fournir une méthodologie globale et de haut niveau, y compris l’approche et l’échelle de l’échantillonnage.</w:t>
      </w:r>
    </w:p>
    <w:p w14:paraId="13B95651" w14:textId="77777777" w:rsidR="00374E00" w:rsidRPr="00F652D9" w:rsidRDefault="00374E00" w:rsidP="00374E00">
      <w:pPr>
        <w:widowControl w:val="0"/>
        <w:numPr>
          <w:ilvl w:val="0"/>
          <w:numId w:val="17"/>
        </w:numPr>
        <w:autoSpaceDE w:val="0"/>
        <w:autoSpaceDN w:val="0"/>
        <w:adjustRightInd w:val="0"/>
        <w:spacing w:after="0" w:line="240" w:lineRule="auto"/>
        <w:jc w:val="both"/>
        <w:rPr>
          <w:rFonts w:cs="Calibri Light"/>
          <w:szCs w:val="20"/>
        </w:rPr>
      </w:pPr>
      <w:r w:rsidRPr="00F652D9">
        <w:rPr>
          <w:rFonts w:cs="Calibri Light"/>
          <w:szCs w:val="20"/>
          <w:u w:val="single"/>
        </w:rPr>
        <w:t>Liste des membres de l'équipe</w:t>
      </w:r>
      <w:r w:rsidRPr="00F652D9">
        <w:rPr>
          <w:rFonts w:cs="Calibri Light"/>
          <w:szCs w:val="20"/>
        </w:rPr>
        <w:t xml:space="preserve"> Une liste complète et à jour des CV pour le personnel de l'équipe proposé en français avec une indication de trois références, ainsi que les informations de contact permanent, courrier électronique et téléphone. </w:t>
      </w:r>
    </w:p>
    <w:p w14:paraId="1FF87CB4" w14:textId="374410A3" w:rsidR="00374E00" w:rsidRPr="00F652D9" w:rsidRDefault="00374E00" w:rsidP="00374E00">
      <w:pPr>
        <w:widowControl w:val="0"/>
        <w:numPr>
          <w:ilvl w:val="0"/>
          <w:numId w:val="17"/>
        </w:numPr>
        <w:autoSpaceDE w:val="0"/>
        <w:autoSpaceDN w:val="0"/>
        <w:adjustRightInd w:val="0"/>
        <w:spacing w:after="0" w:line="240" w:lineRule="auto"/>
        <w:jc w:val="both"/>
        <w:rPr>
          <w:rFonts w:cs="Calibri Light"/>
          <w:szCs w:val="20"/>
        </w:rPr>
      </w:pPr>
      <w:r w:rsidRPr="00F652D9">
        <w:rPr>
          <w:rFonts w:cs="Calibri Light"/>
          <w:szCs w:val="20"/>
        </w:rPr>
        <w:t xml:space="preserve">Un calendrier des activités clés.  Et </w:t>
      </w:r>
      <w:r w:rsidRPr="00F652D9">
        <w:rPr>
          <w:rFonts w:cs="Calibri Light"/>
          <w:szCs w:val="20"/>
          <w:u w:val="single"/>
        </w:rPr>
        <w:t>tenant compte des délais indiqués dans la section sur la durée de l’étude</w:t>
      </w:r>
      <w:r w:rsidRPr="00F652D9">
        <w:rPr>
          <w:rFonts w:cs="Calibri Light"/>
          <w:szCs w:val="20"/>
        </w:rPr>
        <w:t xml:space="preserve">. En outre, le/la consultant/e doit indiquer tout soutien attendu de CODESPA. </w:t>
      </w:r>
    </w:p>
    <w:p w14:paraId="1AD4B7E5" w14:textId="77777777" w:rsidR="00374E00" w:rsidRPr="00F652D9" w:rsidRDefault="00374E00" w:rsidP="00374E00">
      <w:pPr>
        <w:widowControl w:val="0"/>
        <w:numPr>
          <w:ilvl w:val="0"/>
          <w:numId w:val="16"/>
        </w:numPr>
        <w:autoSpaceDE w:val="0"/>
        <w:autoSpaceDN w:val="0"/>
        <w:adjustRightInd w:val="0"/>
        <w:spacing w:after="0" w:line="240" w:lineRule="auto"/>
        <w:jc w:val="both"/>
        <w:rPr>
          <w:rFonts w:cs="Calibri Light"/>
          <w:szCs w:val="20"/>
        </w:rPr>
      </w:pPr>
      <w:r w:rsidRPr="00F652D9">
        <w:rPr>
          <w:rFonts w:cs="Calibri Light"/>
          <w:szCs w:val="20"/>
          <w:u w:val="single"/>
        </w:rPr>
        <w:t>Portefeuille d’expérience et références</w:t>
      </w:r>
      <w:r w:rsidRPr="00F652D9">
        <w:rPr>
          <w:rFonts w:cs="Calibri Light"/>
          <w:szCs w:val="20"/>
        </w:rPr>
        <w:t xml:space="preserve"> Fournir une liste d’au moins trois évaluations de base similaires (et commentaires) récentes, etc., ainsi que des informations de référence pour évaluer les aptitudes et compétences du/de la candidat/e.</w:t>
      </w:r>
    </w:p>
    <w:p w14:paraId="6D9F9000" w14:textId="77777777" w:rsidR="00374E00" w:rsidRPr="00F652D9" w:rsidRDefault="00374E00" w:rsidP="00374E00">
      <w:pPr>
        <w:widowControl w:val="0"/>
        <w:autoSpaceDE w:val="0"/>
        <w:autoSpaceDN w:val="0"/>
        <w:adjustRightInd w:val="0"/>
        <w:jc w:val="both"/>
        <w:rPr>
          <w:rFonts w:cs="Calibri Light"/>
          <w:szCs w:val="20"/>
          <w:u w:val="single"/>
        </w:rPr>
      </w:pPr>
    </w:p>
    <w:p w14:paraId="1D64389A" w14:textId="77777777" w:rsidR="00374E00" w:rsidRPr="00F652D9" w:rsidRDefault="00374E00" w:rsidP="00374E00">
      <w:pPr>
        <w:widowControl w:val="0"/>
        <w:autoSpaceDE w:val="0"/>
        <w:autoSpaceDN w:val="0"/>
        <w:adjustRightInd w:val="0"/>
        <w:jc w:val="both"/>
        <w:rPr>
          <w:rFonts w:cs="Calibri Light"/>
          <w:b/>
          <w:szCs w:val="20"/>
        </w:rPr>
      </w:pPr>
      <w:proofErr w:type="gramStart"/>
      <w:r w:rsidRPr="00F652D9">
        <w:rPr>
          <w:rFonts w:cs="Calibri Light"/>
          <w:b/>
          <w:szCs w:val="20"/>
          <w:u w:val="single"/>
        </w:rPr>
        <w:t>II:</w:t>
      </w:r>
      <w:proofErr w:type="gramEnd"/>
      <w:r w:rsidRPr="00F652D9">
        <w:rPr>
          <w:rFonts w:cs="Calibri Light"/>
          <w:b/>
          <w:szCs w:val="20"/>
          <w:u w:val="single"/>
        </w:rPr>
        <w:t xml:space="preserve"> Proposition financière détaillée (budget prévu) </w:t>
      </w:r>
    </w:p>
    <w:p w14:paraId="28DC354D" w14:textId="77777777" w:rsidR="00374E00" w:rsidRPr="00F652D9" w:rsidRDefault="00374E00" w:rsidP="00374E00">
      <w:pPr>
        <w:widowControl w:val="0"/>
        <w:autoSpaceDE w:val="0"/>
        <w:autoSpaceDN w:val="0"/>
        <w:adjustRightInd w:val="0"/>
        <w:jc w:val="both"/>
        <w:rPr>
          <w:rFonts w:cs="Calibri Light"/>
          <w:szCs w:val="20"/>
        </w:rPr>
      </w:pPr>
      <w:r w:rsidRPr="00F652D9">
        <w:rPr>
          <w:rFonts w:cs="Calibri Light"/>
          <w:szCs w:val="20"/>
        </w:rPr>
        <w:lastRenderedPageBreak/>
        <w:t xml:space="preserve">L'évaluation sera basée sur les éléments suivants : </w:t>
      </w:r>
    </w:p>
    <w:p w14:paraId="22F59E25" w14:textId="701BCAAE" w:rsidR="00374E00" w:rsidRPr="00F652D9" w:rsidRDefault="00374E00" w:rsidP="00374E00">
      <w:pPr>
        <w:widowControl w:val="0"/>
        <w:numPr>
          <w:ilvl w:val="0"/>
          <w:numId w:val="18"/>
        </w:numPr>
        <w:autoSpaceDE w:val="0"/>
        <w:autoSpaceDN w:val="0"/>
        <w:adjustRightInd w:val="0"/>
        <w:spacing w:after="0" w:line="240" w:lineRule="auto"/>
        <w:ind w:left="426"/>
        <w:jc w:val="both"/>
        <w:rPr>
          <w:rFonts w:cs="Calibri Light"/>
          <w:szCs w:val="20"/>
        </w:rPr>
      </w:pPr>
      <w:r w:rsidRPr="00F652D9">
        <w:rPr>
          <w:rFonts w:cs="Calibri Light"/>
          <w:szCs w:val="20"/>
        </w:rPr>
        <w:t xml:space="preserve">Coût : Bien que la sélection ne soit pas nécessairement basée sur le coût par article, CODESPA évaluera les coûts proposés par rapport à l’expérience et à la qualité de la proposition afin de s’assurer que les coûts sont raisonnables. Ils doivent être inclus dans chacun des livrables. </w:t>
      </w:r>
    </w:p>
    <w:p w14:paraId="5FA4119D" w14:textId="77777777" w:rsidR="00374E00" w:rsidRPr="00F652D9" w:rsidRDefault="00374E00" w:rsidP="00374E00">
      <w:pPr>
        <w:widowControl w:val="0"/>
        <w:numPr>
          <w:ilvl w:val="0"/>
          <w:numId w:val="18"/>
        </w:numPr>
        <w:autoSpaceDE w:val="0"/>
        <w:autoSpaceDN w:val="0"/>
        <w:adjustRightInd w:val="0"/>
        <w:spacing w:after="0" w:line="240" w:lineRule="auto"/>
        <w:ind w:left="426"/>
        <w:jc w:val="both"/>
        <w:rPr>
          <w:rFonts w:cs="Calibri Light"/>
          <w:bCs/>
          <w:szCs w:val="20"/>
        </w:rPr>
      </w:pPr>
      <w:r w:rsidRPr="00F652D9">
        <w:rPr>
          <w:rFonts w:cs="Calibri Light"/>
          <w:bCs/>
          <w:szCs w:val="20"/>
        </w:rPr>
        <w:t>Le consultant devrait envisager de budgétiser le travail sur le terrain et la mobilisation des acteurs ou des bénéficiaires en cas de besoin.</w:t>
      </w:r>
    </w:p>
    <w:p w14:paraId="47CBE371" w14:textId="3EC03188" w:rsidR="004746BB" w:rsidRPr="00F652D9" w:rsidRDefault="004746BB" w:rsidP="00182BB5">
      <w:pPr>
        <w:jc w:val="both"/>
        <w:rPr>
          <w:b/>
          <w:bCs/>
          <w:szCs w:val="20"/>
        </w:rPr>
      </w:pPr>
    </w:p>
    <w:p w14:paraId="1DE70016" w14:textId="77777777" w:rsidR="00374E00" w:rsidRPr="00F652D9" w:rsidRDefault="00374E00" w:rsidP="00374E00">
      <w:pPr>
        <w:pStyle w:val="spip"/>
        <w:jc w:val="both"/>
        <w:rPr>
          <w:rFonts w:ascii="Verdana" w:hAnsi="Verdana" w:cs="Calibri Light"/>
          <w:i/>
          <w:sz w:val="20"/>
          <w:szCs w:val="20"/>
          <w:lang w:eastAsia="es-ES"/>
        </w:rPr>
      </w:pPr>
      <w:r w:rsidRPr="00F652D9">
        <w:rPr>
          <w:rFonts w:ascii="Verdana" w:hAnsi="Verdana" w:cs="Calibri Light"/>
          <w:i/>
          <w:sz w:val="20"/>
          <w:szCs w:val="20"/>
          <w:lang w:eastAsia="es-ES"/>
        </w:rPr>
        <w:t xml:space="preserve">Merci d’envoyer vos offres à l’adresse suivante : </w:t>
      </w:r>
    </w:p>
    <w:p w14:paraId="25BFF1EA" w14:textId="28ECD8A3" w:rsidR="00374E00" w:rsidRPr="00F652D9" w:rsidRDefault="00EB2B54" w:rsidP="001D09CC">
      <w:pPr>
        <w:pStyle w:val="spip"/>
        <w:jc w:val="both"/>
        <w:rPr>
          <w:rFonts w:ascii="Verdana" w:hAnsi="Verdana" w:cs="Calibri Light"/>
          <w:b/>
          <w:sz w:val="20"/>
          <w:szCs w:val="20"/>
          <w:lang w:eastAsia="es-ES"/>
        </w:rPr>
      </w:pPr>
      <w:hyperlink r:id="rId12" w:history="1">
        <w:r w:rsidR="00374E00" w:rsidRPr="00F652D9">
          <w:rPr>
            <w:rStyle w:val="Hipervnculo"/>
            <w:rFonts w:ascii="Verdana" w:hAnsi="Verdana" w:cs="Calibri Light"/>
            <w:b/>
            <w:sz w:val="20"/>
            <w:szCs w:val="20"/>
            <w:lang w:eastAsia="es-ES"/>
          </w:rPr>
          <w:t>alaakel@codespa.org</w:t>
        </w:r>
      </w:hyperlink>
      <w:r w:rsidR="00374E00" w:rsidRPr="00F652D9">
        <w:rPr>
          <w:rFonts w:ascii="Verdana" w:hAnsi="Verdana" w:cs="Calibri Light"/>
          <w:b/>
          <w:sz w:val="20"/>
          <w:szCs w:val="20"/>
          <w:lang w:eastAsia="es-ES"/>
        </w:rPr>
        <w:t xml:space="preserve"> , en mentionnant dans l’objet du </w:t>
      </w:r>
      <w:r w:rsidR="00E55F0E" w:rsidRPr="00F652D9">
        <w:rPr>
          <w:rFonts w:ascii="Verdana" w:hAnsi="Verdana" w:cs="Calibri Light"/>
          <w:b/>
          <w:sz w:val="20"/>
          <w:szCs w:val="20"/>
          <w:lang w:eastAsia="es-ES"/>
        </w:rPr>
        <w:t>message «</w:t>
      </w:r>
      <w:r w:rsidR="00E55F0E">
        <w:rPr>
          <w:rFonts w:ascii="Verdana" w:hAnsi="Verdana" w:cs="Calibri Light"/>
          <w:b/>
          <w:sz w:val="20"/>
          <w:szCs w:val="20"/>
          <w:lang w:eastAsia="es-ES"/>
        </w:rPr>
        <w:t> IN</w:t>
      </w:r>
      <w:r w:rsidR="00374E00" w:rsidRPr="00F652D9">
        <w:rPr>
          <w:rFonts w:ascii="Verdana" w:hAnsi="Verdana" w:cstheme="majorHAnsi"/>
          <w:b/>
          <w:bCs/>
          <w:sz w:val="20"/>
          <w:szCs w:val="20"/>
        </w:rPr>
        <w:t xml:space="preserve">NOVERT/001/CODESPA/MA » </w:t>
      </w:r>
    </w:p>
    <w:p w14:paraId="4FB056F4" w14:textId="77777777" w:rsidR="00374E00" w:rsidRPr="00F652D9" w:rsidRDefault="00374E00" w:rsidP="00374E00">
      <w:pPr>
        <w:jc w:val="both"/>
        <w:rPr>
          <w:rFonts w:cs="Calibri Light"/>
          <w:b/>
          <w:szCs w:val="20"/>
        </w:rPr>
      </w:pPr>
    </w:p>
    <w:p w14:paraId="3B04AA47" w14:textId="1348AD61" w:rsidR="00374E00" w:rsidRPr="00F652D9" w:rsidRDefault="00374E00" w:rsidP="00374E00">
      <w:pPr>
        <w:jc w:val="both"/>
        <w:rPr>
          <w:rFonts w:cs="Calibri Light"/>
          <w:b/>
          <w:szCs w:val="20"/>
        </w:rPr>
      </w:pPr>
      <w:r w:rsidRPr="00F652D9">
        <w:rPr>
          <w:rFonts w:cs="Calibri Light"/>
          <w:b/>
          <w:szCs w:val="20"/>
        </w:rPr>
        <w:t xml:space="preserve">Date limite de réception des offres : </w:t>
      </w:r>
      <w:r w:rsidR="00E55F0E">
        <w:rPr>
          <w:rFonts w:cs="Calibri Light"/>
          <w:b/>
          <w:szCs w:val="20"/>
        </w:rPr>
        <w:t>20</w:t>
      </w:r>
      <w:r w:rsidR="001D09CC" w:rsidRPr="00F652D9">
        <w:rPr>
          <w:rFonts w:cs="Calibri Light"/>
          <w:b/>
          <w:szCs w:val="20"/>
        </w:rPr>
        <w:t xml:space="preserve"> avril 2023</w:t>
      </w:r>
      <w:r w:rsidRPr="00F652D9">
        <w:rPr>
          <w:rFonts w:cs="Calibri Light"/>
          <w:b/>
          <w:szCs w:val="20"/>
        </w:rPr>
        <w:t xml:space="preserve"> (23 :59, heure d</w:t>
      </w:r>
      <w:r w:rsidR="001D09CC" w:rsidRPr="00F652D9">
        <w:rPr>
          <w:rFonts w:cs="Calibri Light"/>
          <w:b/>
          <w:szCs w:val="20"/>
        </w:rPr>
        <w:t>u</w:t>
      </w:r>
      <w:r w:rsidRPr="00F652D9">
        <w:rPr>
          <w:rFonts w:cs="Calibri Light"/>
          <w:b/>
          <w:szCs w:val="20"/>
        </w:rPr>
        <w:t xml:space="preserve"> </w:t>
      </w:r>
      <w:r w:rsidR="001D09CC" w:rsidRPr="00F652D9">
        <w:rPr>
          <w:rFonts w:cs="Calibri Light"/>
          <w:b/>
          <w:szCs w:val="20"/>
        </w:rPr>
        <w:t>Maroc</w:t>
      </w:r>
      <w:r w:rsidRPr="00F652D9">
        <w:rPr>
          <w:rFonts w:cs="Calibri Light"/>
          <w:b/>
          <w:szCs w:val="20"/>
        </w:rPr>
        <w:t>).</w:t>
      </w:r>
    </w:p>
    <w:p w14:paraId="6E390E50" w14:textId="77777777" w:rsidR="00374E00" w:rsidRPr="00F652D9" w:rsidRDefault="00374E00" w:rsidP="00182BB5">
      <w:pPr>
        <w:jc w:val="both"/>
        <w:rPr>
          <w:b/>
          <w:bCs/>
        </w:rPr>
      </w:pPr>
    </w:p>
    <w:p w14:paraId="214077D1" w14:textId="6E156832" w:rsidR="004746BB" w:rsidRPr="00F652D9" w:rsidRDefault="004746BB" w:rsidP="00182BB5">
      <w:pPr>
        <w:jc w:val="both"/>
      </w:pPr>
      <w:bookmarkStart w:id="0" w:name="_GoBack"/>
      <w:bookmarkEnd w:id="0"/>
    </w:p>
    <w:sectPr w:rsidR="004746BB" w:rsidRPr="00F652D9" w:rsidSect="006213D2">
      <w:headerReference w:type="default" r:id="rId13"/>
      <w:type w:val="continuous"/>
      <w:pgSz w:w="11906" w:h="16838"/>
      <w:pgMar w:top="226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E202" w16cex:dateUtc="2023-03-10T22:06:00Z"/>
  <w16cex:commentExtensible w16cex:durableId="27BD7647" w16cex:dateUtc="2023-03-16T10:04:00Z"/>
  <w16cex:commentExtensible w16cex:durableId="27BD730B" w16cex:dateUtc="2023-03-16T09:50:00Z"/>
  <w16cex:commentExtensible w16cex:durableId="27BD737F" w16cex:dateUtc="2023-03-16T09:52:00Z"/>
  <w16cex:commentExtensible w16cex:durableId="27BD7397" w16cex:dateUtc="2023-03-16T09:53:00Z"/>
  <w16cex:commentExtensible w16cex:durableId="27BD73C0" w16cex:dateUtc="2023-03-16T09:53:00Z"/>
  <w16cex:commentExtensible w16cex:durableId="27BD751C" w16cex:dateUtc="2023-03-16T09:59:00Z"/>
  <w16cex:commentExtensible w16cex:durableId="27BD75EE" w16cex:dateUtc="2023-03-16T10:03:00Z"/>
  <w16cex:commentExtensible w16cex:durableId="27BD76D3" w16cex:dateUtc="2023-03-16T10:06:00Z"/>
  <w16cex:commentExtensible w16cex:durableId="27BD76D9" w16cex:dateUtc="2023-03-16T10:07:00Z"/>
  <w16cex:commentExtensible w16cex:durableId="27BD76E9" w16cex:dateUtc="2023-03-16T10:07:00Z"/>
  <w16cex:commentExtensible w16cex:durableId="27BD7710" w16cex:dateUtc="2023-03-16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D9FA" w14:textId="77777777" w:rsidR="00EB2B54" w:rsidRDefault="00EB2B54" w:rsidP="00F7503E">
      <w:pPr>
        <w:spacing w:after="0" w:line="240" w:lineRule="auto"/>
      </w:pPr>
      <w:r>
        <w:separator/>
      </w:r>
    </w:p>
  </w:endnote>
  <w:endnote w:type="continuationSeparator" w:id="0">
    <w:p w14:paraId="5E45D95F" w14:textId="77777777" w:rsidR="00EB2B54" w:rsidRDefault="00EB2B54" w:rsidP="00F7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 it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69FF" w14:textId="77777777" w:rsidR="00EB2B54" w:rsidRDefault="00EB2B54" w:rsidP="00F7503E">
      <w:pPr>
        <w:spacing w:after="0" w:line="240" w:lineRule="auto"/>
      </w:pPr>
      <w:r>
        <w:separator/>
      </w:r>
    </w:p>
  </w:footnote>
  <w:footnote w:type="continuationSeparator" w:id="0">
    <w:p w14:paraId="737B52EB" w14:textId="77777777" w:rsidR="00EB2B54" w:rsidRDefault="00EB2B54" w:rsidP="00F7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D3BE" w14:textId="34554BA0" w:rsidR="00692A2E" w:rsidRDefault="00BF20C9">
    <w:pPr>
      <w:pStyle w:val="Encabezado"/>
    </w:pPr>
    <w:r w:rsidRPr="00692A2E">
      <w:rPr>
        <w:noProof/>
      </w:rPr>
      <w:drawing>
        <wp:anchor distT="0" distB="0" distL="114300" distR="114300" simplePos="0" relativeHeight="251659264" behindDoc="1" locked="0" layoutInCell="1" allowOverlap="1" wp14:anchorId="7F4AA649" wp14:editId="0326DA2B">
          <wp:simplePos x="0" y="0"/>
          <wp:positionH relativeFrom="margin">
            <wp:align>right</wp:align>
          </wp:positionH>
          <wp:positionV relativeFrom="paragraph">
            <wp:posOffset>-23495</wp:posOffset>
          </wp:positionV>
          <wp:extent cx="1694180" cy="551180"/>
          <wp:effectExtent l="0" t="0" r="1270" b="1270"/>
          <wp:wrapTight wrapText="bothSides">
            <wp:wrapPolygon edited="0">
              <wp:start x="0" y="0"/>
              <wp:lineTo x="0" y="20903"/>
              <wp:lineTo x="21373" y="20903"/>
              <wp:lineTo x="21373" y="0"/>
              <wp:lineTo x="0" y="0"/>
            </wp:wrapPolygon>
          </wp:wrapTight>
          <wp:docPr id="3" name="Imagen 3" descr="C:\Users\user\Desktop\Communicacion\logos CODESPA\CODESPA-franc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mmunicacion\logos CODESPA\CODESPA-francé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9F6FF42" wp14:editId="6F8E0406">
          <wp:simplePos x="0" y="0"/>
          <wp:positionH relativeFrom="column">
            <wp:posOffset>-336550</wp:posOffset>
          </wp:positionH>
          <wp:positionV relativeFrom="paragraph">
            <wp:posOffset>-635</wp:posOffset>
          </wp:positionV>
          <wp:extent cx="2254250" cy="480060"/>
          <wp:effectExtent l="0" t="0" r="0" b="0"/>
          <wp:wrapTight wrapText="bothSides">
            <wp:wrapPolygon edited="0">
              <wp:start x="0" y="0"/>
              <wp:lineTo x="0" y="20571"/>
              <wp:lineTo x="21357" y="20571"/>
              <wp:lineTo x="213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98"/>
    <w:multiLevelType w:val="hybridMultilevel"/>
    <w:tmpl w:val="E9448DD2"/>
    <w:lvl w:ilvl="0" w:tplc="3392F52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478A1"/>
    <w:multiLevelType w:val="hybridMultilevel"/>
    <w:tmpl w:val="1C462888"/>
    <w:lvl w:ilvl="0" w:tplc="040C0017">
      <w:start w:val="1"/>
      <w:numFmt w:val="lowerLetter"/>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 w15:restartNumberingAfterBreak="0">
    <w:nsid w:val="1D144146"/>
    <w:multiLevelType w:val="hybridMultilevel"/>
    <w:tmpl w:val="D7240E1C"/>
    <w:lvl w:ilvl="0" w:tplc="040C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595200"/>
    <w:multiLevelType w:val="hybridMultilevel"/>
    <w:tmpl w:val="33801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3541F"/>
    <w:multiLevelType w:val="hybridMultilevel"/>
    <w:tmpl w:val="14904B50"/>
    <w:lvl w:ilvl="0" w:tplc="43A47D7C">
      <w:numFmt w:val="bullet"/>
      <w:lvlText w:val="-"/>
      <w:lvlJc w:val="left"/>
      <w:pPr>
        <w:ind w:left="701" w:hanging="360"/>
      </w:pPr>
      <w:rPr>
        <w:rFonts w:ascii="Calibri" w:eastAsiaTheme="minorEastAsia" w:hAnsi="Calibri" w:cs="Aria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 w15:restartNumberingAfterBreak="0">
    <w:nsid w:val="26AE21E5"/>
    <w:multiLevelType w:val="hybridMultilevel"/>
    <w:tmpl w:val="ED5A4CD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6540E2"/>
    <w:multiLevelType w:val="hybridMultilevel"/>
    <w:tmpl w:val="9C70D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BE1A17"/>
    <w:multiLevelType w:val="hybridMultilevel"/>
    <w:tmpl w:val="18DE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C12EF"/>
    <w:multiLevelType w:val="hybridMultilevel"/>
    <w:tmpl w:val="1C462888"/>
    <w:lvl w:ilvl="0" w:tplc="040C0017">
      <w:start w:val="1"/>
      <w:numFmt w:val="lowerLetter"/>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9" w15:restartNumberingAfterBreak="0">
    <w:nsid w:val="2AA770F0"/>
    <w:multiLevelType w:val="hybridMultilevel"/>
    <w:tmpl w:val="E52A0E3C"/>
    <w:lvl w:ilvl="0" w:tplc="040C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4D5332"/>
    <w:multiLevelType w:val="hybridMultilevel"/>
    <w:tmpl w:val="084A4A6E"/>
    <w:lvl w:ilvl="0" w:tplc="CFBC0B6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7D78A2"/>
    <w:multiLevelType w:val="hybridMultilevel"/>
    <w:tmpl w:val="753E3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A561CD"/>
    <w:multiLevelType w:val="hybridMultilevel"/>
    <w:tmpl w:val="8C5E876E"/>
    <w:lvl w:ilvl="0" w:tplc="280A0001">
      <w:start w:val="1"/>
      <w:numFmt w:val="bullet"/>
      <w:lvlText w:val=""/>
      <w:lvlJc w:val="left"/>
      <w:pPr>
        <w:ind w:left="372" w:hanging="360"/>
      </w:pPr>
      <w:rPr>
        <w:rFonts w:ascii="Symbol" w:hAnsi="Symbol" w:hint="default"/>
      </w:rPr>
    </w:lvl>
    <w:lvl w:ilvl="1" w:tplc="280A0003" w:tentative="1">
      <w:start w:val="1"/>
      <w:numFmt w:val="bullet"/>
      <w:lvlText w:val="o"/>
      <w:lvlJc w:val="left"/>
      <w:pPr>
        <w:ind w:left="1092" w:hanging="360"/>
      </w:pPr>
      <w:rPr>
        <w:rFonts w:ascii="Courier New" w:hAnsi="Courier New" w:cs="Courier New" w:hint="default"/>
      </w:rPr>
    </w:lvl>
    <w:lvl w:ilvl="2" w:tplc="280A0005" w:tentative="1">
      <w:start w:val="1"/>
      <w:numFmt w:val="bullet"/>
      <w:lvlText w:val=""/>
      <w:lvlJc w:val="left"/>
      <w:pPr>
        <w:ind w:left="1812" w:hanging="360"/>
      </w:pPr>
      <w:rPr>
        <w:rFonts w:ascii="Wingdings" w:hAnsi="Wingdings" w:hint="default"/>
      </w:rPr>
    </w:lvl>
    <w:lvl w:ilvl="3" w:tplc="280A0001" w:tentative="1">
      <w:start w:val="1"/>
      <w:numFmt w:val="bullet"/>
      <w:lvlText w:val=""/>
      <w:lvlJc w:val="left"/>
      <w:pPr>
        <w:ind w:left="2532" w:hanging="360"/>
      </w:pPr>
      <w:rPr>
        <w:rFonts w:ascii="Symbol" w:hAnsi="Symbol" w:hint="default"/>
      </w:rPr>
    </w:lvl>
    <w:lvl w:ilvl="4" w:tplc="280A0003" w:tentative="1">
      <w:start w:val="1"/>
      <w:numFmt w:val="bullet"/>
      <w:lvlText w:val="o"/>
      <w:lvlJc w:val="left"/>
      <w:pPr>
        <w:ind w:left="3252" w:hanging="360"/>
      </w:pPr>
      <w:rPr>
        <w:rFonts w:ascii="Courier New" w:hAnsi="Courier New" w:cs="Courier New" w:hint="default"/>
      </w:rPr>
    </w:lvl>
    <w:lvl w:ilvl="5" w:tplc="280A0005" w:tentative="1">
      <w:start w:val="1"/>
      <w:numFmt w:val="bullet"/>
      <w:lvlText w:val=""/>
      <w:lvlJc w:val="left"/>
      <w:pPr>
        <w:ind w:left="3972" w:hanging="360"/>
      </w:pPr>
      <w:rPr>
        <w:rFonts w:ascii="Wingdings" w:hAnsi="Wingdings" w:hint="default"/>
      </w:rPr>
    </w:lvl>
    <w:lvl w:ilvl="6" w:tplc="280A0001" w:tentative="1">
      <w:start w:val="1"/>
      <w:numFmt w:val="bullet"/>
      <w:lvlText w:val=""/>
      <w:lvlJc w:val="left"/>
      <w:pPr>
        <w:ind w:left="4692" w:hanging="360"/>
      </w:pPr>
      <w:rPr>
        <w:rFonts w:ascii="Symbol" w:hAnsi="Symbol" w:hint="default"/>
      </w:rPr>
    </w:lvl>
    <w:lvl w:ilvl="7" w:tplc="280A0003" w:tentative="1">
      <w:start w:val="1"/>
      <w:numFmt w:val="bullet"/>
      <w:lvlText w:val="o"/>
      <w:lvlJc w:val="left"/>
      <w:pPr>
        <w:ind w:left="5412" w:hanging="360"/>
      </w:pPr>
      <w:rPr>
        <w:rFonts w:ascii="Courier New" w:hAnsi="Courier New" w:cs="Courier New" w:hint="default"/>
      </w:rPr>
    </w:lvl>
    <w:lvl w:ilvl="8" w:tplc="280A0005" w:tentative="1">
      <w:start w:val="1"/>
      <w:numFmt w:val="bullet"/>
      <w:lvlText w:val=""/>
      <w:lvlJc w:val="left"/>
      <w:pPr>
        <w:ind w:left="6132" w:hanging="360"/>
      </w:pPr>
      <w:rPr>
        <w:rFonts w:ascii="Wingdings" w:hAnsi="Wingdings" w:hint="default"/>
      </w:rPr>
    </w:lvl>
  </w:abstractNum>
  <w:abstractNum w:abstractNumId="13" w15:restartNumberingAfterBreak="0">
    <w:nsid w:val="2F4B1E7A"/>
    <w:multiLevelType w:val="multilevel"/>
    <w:tmpl w:val="2F3682BE"/>
    <w:lvl w:ilvl="0">
      <w:start w:val="1"/>
      <w:numFmt w:val="decimal"/>
      <w:lvlText w:val="%1)"/>
      <w:lvlJc w:val="left"/>
      <w:pPr>
        <w:tabs>
          <w:tab w:val="num" w:pos="720"/>
        </w:tabs>
        <w:ind w:left="720" w:hanging="360"/>
      </w:pPr>
      <w:rPr>
        <w:rFonts w:ascii="Officina itc" w:eastAsia="Times New Roman" w:hAnsi="Officina itc" w:cs="Tahoma"/>
        <w:b w:val="0"/>
        <w:bCs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91CB6"/>
    <w:multiLevelType w:val="hybridMultilevel"/>
    <w:tmpl w:val="C962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94D50"/>
    <w:multiLevelType w:val="hybridMultilevel"/>
    <w:tmpl w:val="08E6B26A"/>
    <w:lvl w:ilvl="0" w:tplc="973075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414F6"/>
    <w:multiLevelType w:val="hybridMultilevel"/>
    <w:tmpl w:val="4D0AFD40"/>
    <w:lvl w:ilvl="0" w:tplc="040C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B378FA"/>
    <w:multiLevelType w:val="hybridMultilevel"/>
    <w:tmpl w:val="F86A8E46"/>
    <w:lvl w:ilvl="0" w:tplc="CDA49F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632C6C"/>
    <w:multiLevelType w:val="hybridMultilevel"/>
    <w:tmpl w:val="EB326F0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041597"/>
    <w:multiLevelType w:val="hybridMultilevel"/>
    <w:tmpl w:val="64B022EC"/>
    <w:lvl w:ilvl="0" w:tplc="8B9099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9905BB"/>
    <w:multiLevelType w:val="hybridMultilevel"/>
    <w:tmpl w:val="2BC2F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B0789B"/>
    <w:multiLevelType w:val="hybridMultilevel"/>
    <w:tmpl w:val="79B69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A337D4"/>
    <w:multiLevelType w:val="hybridMultilevel"/>
    <w:tmpl w:val="0BE82BF0"/>
    <w:lvl w:ilvl="0" w:tplc="040C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5A2040"/>
    <w:multiLevelType w:val="hybridMultilevel"/>
    <w:tmpl w:val="D334E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5F7670B"/>
    <w:multiLevelType w:val="hybridMultilevel"/>
    <w:tmpl w:val="2A50C97E"/>
    <w:lvl w:ilvl="0" w:tplc="860272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9"/>
  </w:num>
  <w:num w:numId="5">
    <w:abstractNumId w:val="0"/>
  </w:num>
  <w:num w:numId="6">
    <w:abstractNumId w:val="1"/>
  </w:num>
  <w:num w:numId="7">
    <w:abstractNumId w:val="18"/>
  </w:num>
  <w:num w:numId="8">
    <w:abstractNumId w:val="16"/>
  </w:num>
  <w:num w:numId="9">
    <w:abstractNumId w:val="24"/>
  </w:num>
  <w:num w:numId="10">
    <w:abstractNumId w:val="19"/>
  </w:num>
  <w:num w:numId="11">
    <w:abstractNumId w:val="15"/>
  </w:num>
  <w:num w:numId="12">
    <w:abstractNumId w:val="2"/>
  </w:num>
  <w:num w:numId="13">
    <w:abstractNumId w:val="13"/>
  </w:num>
  <w:num w:numId="14">
    <w:abstractNumId w:val="10"/>
  </w:num>
  <w:num w:numId="15">
    <w:abstractNumId w:val="3"/>
  </w:num>
  <w:num w:numId="16">
    <w:abstractNumId w:val="5"/>
  </w:num>
  <w:num w:numId="17">
    <w:abstractNumId w:val="21"/>
  </w:num>
  <w:num w:numId="18">
    <w:abstractNumId w:val="11"/>
  </w:num>
  <w:num w:numId="19">
    <w:abstractNumId w:val="23"/>
  </w:num>
  <w:num w:numId="20">
    <w:abstractNumId w:val="20"/>
  </w:num>
  <w:num w:numId="21">
    <w:abstractNumId w:val="12"/>
  </w:num>
  <w:num w:numId="22">
    <w:abstractNumId w:val="14"/>
  </w:num>
  <w:num w:numId="23">
    <w:abstractNumId w:val="6"/>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34"/>
    <w:rsid w:val="00015A57"/>
    <w:rsid w:val="000E28AF"/>
    <w:rsid w:val="000E47FD"/>
    <w:rsid w:val="000E64B0"/>
    <w:rsid w:val="001029FC"/>
    <w:rsid w:val="00182BB5"/>
    <w:rsid w:val="00197B6A"/>
    <w:rsid w:val="001D09CC"/>
    <w:rsid w:val="001E4F34"/>
    <w:rsid w:val="00205B89"/>
    <w:rsid w:val="00210FFA"/>
    <w:rsid w:val="00257BD6"/>
    <w:rsid w:val="002634AD"/>
    <w:rsid w:val="00280DF8"/>
    <w:rsid w:val="00290157"/>
    <w:rsid w:val="00373E47"/>
    <w:rsid w:val="00374E00"/>
    <w:rsid w:val="003753AE"/>
    <w:rsid w:val="003E061A"/>
    <w:rsid w:val="003F49B3"/>
    <w:rsid w:val="00413E5E"/>
    <w:rsid w:val="0043621F"/>
    <w:rsid w:val="00456A34"/>
    <w:rsid w:val="00470E7A"/>
    <w:rsid w:val="004746BB"/>
    <w:rsid w:val="0048795F"/>
    <w:rsid w:val="004C5620"/>
    <w:rsid w:val="004D7AE1"/>
    <w:rsid w:val="004E2331"/>
    <w:rsid w:val="00503D89"/>
    <w:rsid w:val="00560C49"/>
    <w:rsid w:val="00565016"/>
    <w:rsid w:val="005A2EDB"/>
    <w:rsid w:val="005E744A"/>
    <w:rsid w:val="00616381"/>
    <w:rsid w:val="006213D2"/>
    <w:rsid w:val="0064276B"/>
    <w:rsid w:val="00692A2E"/>
    <w:rsid w:val="006A3C1C"/>
    <w:rsid w:val="006A5F58"/>
    <w:rsid w:val="006C0165"/>
    <w:rsid w:val="006C208F"/>
    <w:rsid w:val="007123F8"/>
    <w:rsid w:val="00723A33"/>
    <w:rsid w:val="00741DE4"/>
    <w:rsid w:val="00745274"/>
    <w:rsid w:val="00745E35"/>
    <w:rsid w:val="0077184B"/>
    <w:rsid w:val="007A678B"/>
    <w:rsid w:val="007B7DBA"/>
    <w:rsid w:val="0081590E"/>
    <w:rsid w:val="00843534"/>
    <w:rsid w:val="008821F4"/>
    <w:rsid w:val="008C518B"/>
    <w:rsid w:val="00997C12"/>
    <w:rsid w:val="009F4787"/>
    <w:rsid w:val="00A0330A"/>
    <w:rsid w:val="00A351C0"/>
    <w:rsid w:val="00A37174"/>
    <w:rsid w:val="00A56CD7"/>
    <w:rsid w:val="00A9196D"/>
    <w:rsid w:val="00AA4112"/>
    <w:rsid w:val="00AD1C05"/>
    <w:rsid w:val="00AF50D5"/>
    <w:rsid w:val="00B345A0"/>
    <w:rsid w:val="00B53C6B"/>
    <w:rsid w:val="00BD386F"/>
    <w:rsid w:val="00BE53D2"/>
    <w:rsid w:val="00BF20C9"/>
    <w:rsid w:val="00BF2F1B"/>
    <w:rsid w:val="00C043D0"/>
    <w:rsid w:val="00C377C5"/>
    <w:rsid w:val="00C80E04"/>
    <w:rsid w:val="00CA22E8"/>
    <w:rsid w:val="00CE1543"/>
    <w:rsid w:val="00CE27EE"/>
    <w:rsid w:val="00D22D2A"/>
    <w:rsid w:val="00D62234"/>
    <w:rsid w:val="00D95542"/>
    <w:rsid w:val="00DB4E6B"/>
    <w:rsid w:val="00DE7329"/>
    <w:rsid w:val="00E55F0E"/>
    <w:rsid w:val="00EA7FA6"/>
    <w:rsid w:val="00EB2B54"/>
    <w:rsid w:val="00F01B88"/>
    <w:rsid w:val="00F37C3A"/>
    <w:rsid w:val="00F40003"/>
    <w:rsid w:val="00F652D9"/>
    <w:rsid w:val="00F7503E"/>
    <w:rsid w:val="00F763E9"/>
    <w:rsid w:val="00F86B08"/>
    <w:rsid w:val="00FF3E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C1C1"/>
  <w15:chartTrackingRefBased/>
  <w15:docId w15:val="{619CFE32-5BEE-4727-AFD7-3A7CB3FB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61A"/>
    <w:rPr>
      <w:lang w:val="fr-FR"/>
    </w:rPr>
  </w:style>
  <w:style w:type="paragraph" w:styleId="Ttulo1">
    <w:name w:val="heading 1"/>
    <w:basedOn w:val="Normal"/>
    <w:next w:val="Normal"/>
    <w:link w:val="Ttulo1Car"/>
    <w:qFormat/>
    <w:rsid w:val="00565016"/>
    <w:pPr>
      <w:keepNext/>
      <w:spacing w:after="0" w:line="240" w:lineRule="auto"/>
      <w:outlineLvl w:val="0"/>
    </w:pPr>
    <w:rPr>
      <w:rFonts w:ascii="Calibri Light" w:eastAsia="Times New Roman" w:hAnsi="Calibri Light" w:cs="Times New Roman"/>
      <w:color w:val="C45911"/>
      <w:sz w:val="28"/>
      <w:szCs w:val="20"/>
      <w:lang w:val="es-ES" w:eastAsia="es-ES"/>
    </w:rPr>
  </w:style>
  <w:style w:type="paragraph" w:styleId="Ttulo2">
    <w:name w:val="heading 2"/>
    <w:basedOn w:val="Normal"/>
    <w:next w:val="Normal"/>
    <w:link w:val="Ttulo2Car"/>
    <w:uiPriority w:val="9"/>
    <w:semiHidden/>
    <w:unhideWhenUsed/>
    <w:qFormat/>
    <w:rsid w:val="00374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03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7503E"/>
  </w:style>
  <w:style w:type="paragraph" w:styleId="Piedepgina">
    <w:name w:val="footer"/>
    <w:basedOn w:val="Normal"/>
    <w:link w:val="PiedepginaCar"/>
    <w:uiPriority w:val="99"/>
    <w:unhideWhenUsed/>
    <w:rsid w:val="00F7503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7503E"/>
  </w:style>
  <w:style w:type="paragraph" w:styleId="Prrafodelista">
    <w:name w:val="List Paragraph"/>
    <w:aliases w:val="Paragraphe de liste PBLH,Texto,List Paragraph1,Titulo 1,Parrafo,Oiko Ficha Parrafo,LISTA,Titulo de Fígura,TITULO A,Párrafo de lista1,Párrafo de lista3,Conclusiones,Cuadro 2-1,Fundamentacion,Bulleted List,Párrafo de lista2,Titulo parrafo"/>
    <w:basedOn w:val="Normal"/>
    <w:link w:val="PrrafodelistaCar"/>
    <w:uiPriority w:val="34"/>
    <w:qFormat/>
    <w:rsid w:val="00692A2E"/>
    <w:pPr>
      <w:ind w:left="720"/>
      <w:contextualSpacing/>
    </w:pPr>
  </w:style>
  <w:style w:type="character" w:styleId="Hipervnculo">
    <w:name w:val="Hyperlink"/>
    <w:basedOn w:val="Fuentedeprrafopredeter"/>
    <w:uiPriority w:val="99"/>
    <w:unhideWhenUsed/>
    <w:rsid w:val="00A37174"/>
    <w:rPr>
      <w:color w:val="0563C1" w:themeColor="hyperlink"/>
      <w:u w:val="single"/>
    </w:rPr>
  </w:style>
  <w:style w:type="character" w:styleId="Mencinsinresolver">
    <w:name w:val="Unresolved Mention"/>
    <w:basedOn w:val="Fuentedeprrafopredeter"/>
    <w:uiPriority w:val="99"/>
    <w:semiHidden/>
    <w:unhideWhenUsed/>
    <w:rsid w:val="00A37174"/>
    <w:rPr>
      <w:color w:val="605E5C"/>
      <w:shd w:val="clear" w:color="auto" w:fill="E1DFDD"/>
    </w:rPr>
  </w:style>
  <w:style w:type="character" w:styleId="Textoennegrita">
    <w:name w:val="Strong"/>
    <w:basedOn w:val="Fuentedeprrafopredeter"/>
    <w:uiPriority w:val="22"/>
    <w:qFormat/>
    <w:rsid w:val="004746BB"/>
    <w:rPr>
      <w:b/>
      <w:bCs/>
    </w:rPr>
  </w:style>
  <w:style w:type="character" w:styleId="nfasis">
    <w:name w:val="Emphasis"/>
    <w:basedOn w:val="Fuentedeprrafopredeter"/>
    <w:uiPriority w:val="20"/>
    <w:qFormat/>
    <w:rsid w:val="004746BB"/>
    <w:rPr>
      <w:i/>
      <w:iCs/>
    </w:rPr>
  </w:style>
  <w:style w:type="character" w:styleId="Hipervnculovisitado">
    <w:name w:val="FollowedHyperlink"/>
    <w:basedOn w:val="Fuentedeprrafopredeter"/>
    <w:uiPriority w:val="99"/>
    <w:semiHidden/>
    <w:unhideWhenUsed/>
    <w:rsid w:val="00470E7A"/>
    <w:rPr>
      <w:color w:val="954F72" w:themeColor="followedHyperlink"/>
      <w:u w:val="single"/>
    </w:rPr>
  </w:style>
  <w:style w:type="paragraph" w:styleId="Textonotapie">
    <w:name w:val="footnote text"/>
    <w:basedOn w:val="Normal"/>
    <w:link w:val="TextonotapieCar"/>
    <w:uiPriority w:val="99"/>
    <w:unhideWhenUsed/>
    <w:rsid w:val="00616381"/>
    <w:pPr>
      <w:spacing w:after="0" w:line="240" w:lineRule="auto"/>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uiPriority w:val="99"/>
    <w:rsid w:val="00616381"/>
    <w:rPr>
      <w:rFonts w:ascii="Times New Roman" w:eastAsia="Times New Roman" w:hAnsi="Times New Roman" w:cs="Times New Roman"/>
      <w:szCs w:val="20"/>
      <w:lang w:eastAsia="es-ES"/>
    </w:rPr>
  </w:style>
  <w:style w:type="character" w:styleId="Refdenotaalpie">
    <w:name w:val="footnote reference"/>
    <w:uiPriority w:val="99"/>
    <w:unhideWhenUsed/>
    <w:rsid w:val="00616381"/>
    <w:rPr>
      <w:vertAlign w:val="superscript"/>
    </w:rPr>
  </w:style>
  <w:style w:type="character" w:customStyle="1" w:styleId="Ttulo1Car">
    <w:name w:val="Título 1 Car"/>
    <w:basedOn w:val="Fuentedeprrafopredeter"/>
    <w:link w:val="Ttulo1"/>
    <w:rsid w:val="00565016"/>
    <w:rPr>
      <w:rFonts w:ascii="Calibri Light" w:eastAsia="Times New Roman" w:hAnsi="Calibri Light" w:cs="Times New Roman"/>
      <w:color w:val="C45911"/>
      <w:sz w:val="28"/>
      <w:szCs w:val="20"/>
      <w:lang w:eastAsia="es-ES"/>
    </w:rPr>
  </w:style>
  <w:style w:type="paragraph" w:styleId="Textocomentario">
    <w:name w:val="annotation text"/>
    <w:basedOn w:val="Normal"/>
    <w:link w:val="TextocomentarioCar"/>
    <w:uiPriority w:val="99"/>
    <w:unhideWhenUsed/>
    <w:rsid w:val="00560C49"/>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60C49"/>
    <w:rPr>
      <w:rFonts w:ascii="Times New Roman" w:eastAsia="Times New Roman" w:hAnsi="Times New Roman" w:cs="Times New Roman"/>
      <w:szCs w:val="20"/>
      <w:lang w:eastAsia="es-ES"/>
    </w:rPr>
  </w:style>
  <w:style w:type="character" w:customStyle="1" w:styleId="Ttulo2Car">
    <w:name w:val="Título 2 Car"/>
    <w:basedOn w:val="Fuentedeprrafopredeter"/>
    <w:link w:val="Ttulo2"/>
    <w:uiPriority w:val="9"/>
    <w:semiHidden/>
    <w:rsid w:val="00374E00"/>
    <w:rPr>
      <w:rFonts w:asciiTheme="majorHAnsi" w:eastAsiaTheme="majorEastAsia" w:hAnsiTheme="majorHAnsi" w:cstheme="majorBidi"/>
      <w:color w:val="2F5496" w:themeColor="accent1" w:themeShade="BF"/>
      <w:sz w:val="26"/>
      <w:szCs w:val="26"/>
      <w:lang w:val="fr-FR"/>
    </w:rPr>
  </w:style>
  <w:style w:type="paragraph" w:styleId="Textoindependiente">
    <w:name w:val="Body Text"/>
    <w:basedOn w:val="Normal"/>
    <w:link w:val="TextoindependienteCar"/>
    <w:rsid w:val="00374E00"/>
    <w:pPr>
      <w:spacing w:after="0" w:line="240" w:lineRule="auto"/>
    </w:pPr>
    <w:rPr>
      <w:rFonts w:ascii="Arial" w:eastAsia="Times New Roman" w:hAnsi="Arial" w:cs="Times New Roman"/>
      <w:i/>
      <w:szCs w:val="20"/>
      <w:lang w:val="es-ES" w:eastAsia="es-ES"/>
    </w:rPr>
  </w:style>
  <w:style w:type="character" w:customStyle="1" w:styleId="TextoindependienteCar">
    <w:name w:val="Texto independiente Car"/>
    <w:basedOn w:val="Fuentedeprrafopredeter"/>
    <w:link w:val="Textoindependiente"/>
    <w:rsid w:val="00374E00"/>
    <w:rPr>
      <w:rFonts w:ascii="Arial" w:eastAsia="Times New Roman" w:hAnsi="Arial" w:cs="Times New Roman"/>
      <w:i/>
      <w:szCs w:val="20"/>
      <w:lang w:eastAsia="es-ES"/>
    </w:rPr>
  </w:style>
  <w:style w:type="character" w:customStyle="1" w:styleId="shorttext">
    <w:name w:val="short_text"/>
    <w:rsid w:val="00374E00"/>
  </w:style>
  <w:style w:type="paragraph" w:customStyle="1" w:styleId="spip">
    <w:name w:val="spip"/>
    <w:basedOn w:val="Normal"/>
    <w:rsid w:val="00374E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efdecomentario">
    <w:name w:val="annotation reference"/>
    <w:basedOn w:val="Fuentedeprrafopredeter"/>
    <w:uiPriority w:val="99"/>
    <w:semiHidden/>
    <w:unhideWhenUsed/>
    <w:rsid w:val="004C5620"/>
    <w:rPr>
      <w:sz w:val="16"/>
      <w:szCs w:val="16"/>
    </w:rPr>
  </w:style>
  <w:style w:type="paragraph" w:styleId="Asuntodelcomentario">
    <w:name w:val="annotation subject"/>
    <w:basedOn w:val="Textocomentario"/>
    <w:next w:val="Textocomentario"/>
    <w:link w:val="AsuntodelcomentarioCar"/>
    <w:uiPriority w:val="99"/>
    <w:semiHidden/>
    <w:unhideWhenUsed/>
    <w:rsid w:val="004C5620"/>
    <w:pPr>
      <w:spacing w:after="160"/>
    </w:pPr>
    <w:rPr>
      <w:rFonts w:ascii="Verdana" w:eastAsiaTheme="minorHAnsi" w:hAnsi="Verdana" w:cstheme="minorBidi"/>
      <w:b/>
      <w:bCs/>
      <w:lang w:val="fr-FR" w:eastAsia="en-US"/>
    </w:rPr>
  </w:style>
  <w:style w:type="character" w:customStyle="1" w:styleId="AsuntodelcomentarioCar">
    <w:name w:val="Asunto del comentario Car"/>
    <w:basedOn w:val="TextocomentarioCar"/>
    <w:link w:val="Asuntodelcomentario"/>
    <w:uiPriority w:val="99"/>
    <w:semiHidden/>
    <w:rsid w:val="004C5620"/>
    <w:rPr>
      <w:rFonts w:ascii="Times New Roman" w:eastAsia="Times New Roman" w:hAnsi="Times New Roman" w:cs="Times New Roman"/>
      <w:b/>
      <w:bCs/>
      <w:szCs w:val="20"/>
      <w:lang w:val="fr-FR" w:eastAsia="es-ES"/>
    </w:rPr>
  </w:style>
  <w:style w:type="character" w:customStyle="1" w:styleId="PrrafodelistaCar">
    <w:name w:val="Párrafo de lista Car"/>
    <w:aliases w:val="Paragraphe de liste PBLH Car,Texto Car,List Paragraph1 Car,Titulo 1 Car,Parrafo Car,Oiko Ficha Parrafo Car,LISTA Car,Titulo de Fígura Car,TITULO A Car,Párrafo de lista1 Car,Párrafo de lista3 Car,Conclusiones Car,Cuadro 2-1 Car"/>
    <w:basedOn w:val="Fuentedeprrafopredeter"/>
    <w:link w:val="Prrafodelista"/>
    <w:uiPriority w:val="34"/>
    <w:qFormat/>
    <w:rsid w:val="004C5620"/>
    <w:rPr>
      <w:lang w:val="fr-FR"/>
    </w:rPr>
  </w:style>
  <w:style w:type="table" w:styleId="Tablaconcuadrcula4-nfasis3">
    <w:name w:val="Grid Table 4 Accent 3"/>
    <w:basedOn w:val="Tablanormal"/>
    <w:uiPriority w:val="49"/>
    <w:rsid w:val="00741DE4"/>
    <w:pPr>
      <w:spacing w:after="0" w:line="240" w:lineRule="auto"/>
    </w:pPr>
    <w:rPr>
      <w:rFonts w:asciiTheme="minorHAnsi" w:hAnsiTheme="minorHAnsi"/>
      <w:sz w:val="22"/>
      <w:lang w:val="es-P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f0">
    <w:name w:val="pf0"/>
    <w:basedOn w:val="Normal"/>
    <w:rsid w:val="00741D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741DE4"/>
    <w:rPr>
      <w:rFonts w:ascii="Segoe UI" w:hAnsi="Segoe UI" w:cs="Segoe UI" w:hint="default"/>
      <w:sz w:val="18"/>
      <w:szCs w:val="18"/>
    </w:rPr>
  </w:style>
  <w:style w:type="paragraph" w:styleId="Textodeglobo">
    <w:name w:val="Balloon Text"/>
    <w:basedOn w:val="Normal"/>
    <w:link w:val="TextodegloboCar"/>
    <w:uiPriority w:val="99"/>
    <w:semiHidden/>
    <w:unhideWhenUsed/>
    <w:rsid w:val="00A03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30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akel@codespa.org"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desp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310b48-86da-4dad-af06-c18e654e8e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260477FF5C7B34B83F43941C20E4AAD" ma:contentTypeVersion="6" ma:contentTypeDescription="Crear nuevo documento." ma:contentTypeScope="" ma:versionID="055eada2dc244f1a478ce453e6221c08">
  <xsd:schema xmlns:xsd="http://www.w3.org/2001/XMLSchema" xmlns:xs="http://www.w3.org/2001/XMLSchema" xmlns:p="http://schemas.microsoft.com/office/2006/metadata/properties" xmlns:ns3="a4310b48-86da-4dad-af06-c18e654e8e2b" targetNamespace="http://schemas.microsoft.com/office/2006/metadata/properties" ma:root="true" ma:fieldsID="8b3fdcf0c8eaefd721dde82259509b8a" ns3:_="">
    <xsd:import namespace="a4310b48-86da-4dad-af06-c18e654e8e2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b48-86da-4dad-af06-c18e654e8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BEDF-4829-485C-AB4A-F0B1F28A83C3}">
  <ds:schemaRefs>
    <ds:schemaRef ds:uri="http://schemas.microsoft.com/office/2006/metadata/properties"/>
    <ds:schemaRef ds:uri="http://schemas.microsoft.com/office/infopath/2007/PartnerControls"/>
    <ds:schemaRef ds:uri="a4310b48-86da-4dad-af06-c18e654e8e2b"/>
  </ds:schemaRefs>
</ds:datastoreItem>
</file>

<file path=customXml/itemProps2.xml><?xml version="1.0" encoding="utf-8"?>
<ds:datastoreItem xmlns:ds="http://schemas.openxmlformats.org/officeDocument/2006/customXml" ds:itemID="{F821AB4A-9E33-49FD-A78E-F2D4FE6B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b48-86da-4dad-af06-c18e654e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30999-4A75-43EC-A27A-E1CF524767B5}">
  <ds:schemaRefs>
    <ds:schemaRef ds:uri="http://schemas.microsoft.com/sharepoint/v3/contenttype/forms"/>
  </ds:schemaRefs>
</ds:datastoreItem>
</file>

<file path=customXml/itemProps4.xml><?xml version="1.0" encoding="utf-8"?>
<ds:datastoreItem xmlns:ds="http://schemas.openxmlformats.org/officeDocument/2006/customXml" ds:itemID="{48C3054E-2F4A-4D78-816B-5F8946C8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2638</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Adnane Laakel Gauzi</dc:creator>
  <cp:keywords/>
  <dc:description/>
  <cp:lastModifiedBy>Adnane Laakel Gauzi</cp:lastModifiedBy>
  <cp:revision>11</cp:revision>
  <cp:lastPrinted>2023-02-22T16:25:00Z</cp:lastPrinted>
  <dcterms:created xsi:type="dcterms:W3CDTF">2023-03-16T10:09:00Z</dcterms:created>
  <dcterms:modified xsi:type="dcterms:W3CDTF">2023-03-27T11:50:00Z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0x010100C260477FF5C7B34B83F43941C20E4AAD</vt:lpwstr>
  </property>
</Properties>
</file>