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8207" w14:textId="387E0CDF" w:rsidR="00AD5FC5" w:rsidRDefault="00AD5FC5"/>
    <w:p w14:paraId="56C09623" w14:textId="354C8F5D" w:rsidR="00545C90" w:rsidRDefault="00545C90"/>
    <w:p w14:paraId="5524A3AC" w14:textId="17EDD599" w:rsidR="00545C90" w:rsidRDefault="00545C90"/>
    <w:p w14:paraId="38B708E9" w14:textId="60DD9734" w:rsidR="00545C90" w:rsidRDefault="00545C90"/>
    <w:p w14:paraId="2FFE8773" w14:textId="2223C045" w:rsidR="00545C90" w:rsidRDefault="00000D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CB93F" wp14:editId="2DCCBAB7">
                <wp:simplePos x="0" y="0"/>
                <wp:positionH relativeFrom="column">
                  <wp:posOffset>-299720</wp:posOffset>
                </wp:positionH>
                <wp:positionV relativeFrom="paragraph">
                  <wp:posOffset>287020</wp:posOffset>
                </wp:positionV>
                <wp:extent cx="6600825" cy="95250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94DA4" w14:textId="5025E0F9" w:rsidR="00805E10" w:rsidRDefault="00545C90" w:rsidP="00E5453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05E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NOTE DE CADRAGE POUR LE RECRUTEMENT DES FORMATEUR.TRICES DANS LE CADRE D’UN PROJET DE</w:t>
                            </w:r>
                          </w:p>
                          <w:p w14:paraId="3F6BAE36" w14:textId="37BB85F5" w:rsidR="00545C90" w:rsidRPr="00805E10" w:rsidRDefault="00545C90" w:rsidP="00E5453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805E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RENFORCEMENT DES CAPACITES</w:t>
                            </w:r>
                            <w:r w:rsidR="00395B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05E1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MANAGERIALES</w:t>
                            </w:r>
                          </w:p>
                          <w:p w14:paraId="3CFB6C80" w14:textId="2107195F" w:rsidR="00545C90" w:rsidRPr="00545C90" w:rsidRDefault="00545C90" w:rsidP="00545C90">
                            <w:pPr>
                              <w:ind w:left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CB9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6pt;margin-top:22.6pt;width:519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" strokecolor="#002060" strokeweight="2.25pt">
                <v:textbox>
                  <w:txbxContent>
                    <w:p w14:paraId="34394DA4" w14:textId="5025E0F9" w:rsidR="00805E10" w:rsidRDefault="00545C90" w:rsidP="00E5453D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05E10">
                        <w:rPr>
                          <w:b/>
                          <w:bCs/>
                          <w:sz w:val="32"/>
                          <w:szCs w:val="32"/>
                        </w:rPr>
                        <w:t>NOTE DE CADRAGE POUR LE RECRUTEMENT DES FORMATEUR.TRICES DANS LE CADRE D’UN PROJET DE</w:t>
                      </w:r>
                    </w:p>
                    <w:p w14:paraId="3F6BAE36" w14:textId="37BB85F5" w:rsidR="00545C90" w:rsidRPr="00805E10" w:rsidRDefault="00545C90" w:rsidP="00E5453D">
                      <w:pPr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805E10">
                        <w:rPr>
                          <w:b/>
                          <w:bCs/>
                          <w:sz w:val="32"/>
                          <w:szCs w:val="32"/>
                        </w:rPr>
                        <w:t>RENFORCEMENT DES CAPACITES</w:t>
                      </w:r>
                      <w:r w:rsidR="00395B1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05E10">
                        <w:rPr>
                          <w:b/>
                          <w:bCs/>
                          <w:sz w:val="32"/>
                          <w:szCs w:val="32"/>
                        </w:rPr>
                        <w:t>MANAGERIALES</w:t>
                      </w:r>
                    </w:p>
                    <w:p w14:paraId="3CFB6C80" w14:textId="2107195F" w:rsidR="00545C90" w:rsidRPr="00545C90" w:rsidRDefault="00545C90" w:rsidP="00545C90">
                      <w:pPr>
                        <w:ind w:left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CD8070" w14:textId="7858AAAB" w:rsidR="00545C90" w:rsidRDefault="00545C90"/>
    <w:p w14:paraId="4F63EA12" w14:textId="4717A4B5" w:rsidR="00805E10" w:rsidRPr="00805E10" w:rsidRDefault="00805E10" w:rsidP="00805E10"/>
    <w:p w14:paraId="71168A5E" w14:textId="08C73775" w:rsidR="00805E10" w:rsidRPr="00805E10" w:rsidRDefault="00805E10" w:rsidP="00805E10"/>
    <w:p w14:paraId="5DA727FE" w14:textId="70B626B8" w:rsidR="00805E10" w:rsidRPr="00805E10" w:rsidRDefault="00805E10" w:rsidP="00805E10"/>
    <w:p w14:paraId="16F84CD1" w14:textId="4EA7BE06" w:rsidR="00805E10" w:rsidRPr="00805E10" w:rsidRDefault="00805E10" w:rsidP="00805E10"/>
    <w:p w14:paraId="1431CCB1" w14:textId="558653FA" w:rsidR="00805E10" w:rsidRPr="00805E10" w:rsidRDefault="00805E10" w:rsidP="00805E10"/>
    <w:tbl>
      <w:tblPr>
        <w:tblW w:w="10245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7108"/>
      </w:tblGrid>
      <w:tr w:rsidR="00805E10" w14:paraId="71BB7587" w14:textId="2862316F" w:rsidTr="00805E10">
        <w:trPr>
          <w:trHeight w:val="545"/>
        </w:trPr>
        <w:tc>
          <w:tcPr>
            <w:tcW w:w="3137" w:type="dxa"/>
          </w:tcPr>
          <w:p w14:paraId="6AFC7257" w14:textId="76344235" w:rsidR="00805E10" w:rsidRPr="00805E10" w:rsidRDefault="00805E10" w:rsidP="00805E10">
            <w:pPr>
              <w:spacing w:after="160" w:line="259" w:lineRule="auto"/>
              <w:ind w:left="0"/>
              <w:rPr>
                <w:b/>
                <w:bCs/>
              </w:rPr>
            </w:pPr>
            <w:r w:rsidRPr="00805E10">
              <w:rPr>
                <w:b/>
                <w:bCs/>
              </w:rPr>
              <w:t xml:space="preserve">Organisation </w:t>
            </w:r>
          </w:p>
        </w:tc>
        <w:tc>
          <w:tcPr>
            <w:tcW w:w="7108" w:type="dxa"/>
          </w:tcPr>
          <w:p w14:paraId="5A0F2832" w14:textId="520A575F" w:rsidR="00805E10" w:rsidRPr="00805E10" w:rsidRDefault="00805E10" w:rsidP="00805E10">
            <w:pPr>
              <w:spacing w:after="160" w:line="259" w:lineRule="auto"/>
              <w:ind w:left="0"/>
              <w:rPr>
                <w:b/>
                <w:bCs/>
              </w:rPr>
            </w:pPr>
            <w:r w:rsidRPr="00805E10">
              <w:rPr>
                <w:b/>
                <w:bCs/>
              </w:rPr>
              <w:t xml:space="preserve">Excellence Center Training and advisory </w:t>
            </w:r>
          </w:p>
        </w:tc>
      </w:tr>
      <w:tr w:rsidR="00805E10" w14:paraId="6C068A0D" w14:textId="77777777" w:rsidTr="00805E10">
        <w:trPr>
          <w:trHeight w:val="641"/>
        </w:trPr>
        <w:tc>
          <w:tcPr>
            <w:tcW w:w="3137" w:type="dxa"/>
          </w:tcPr>
          <w:p w14:paraId="2416A035" w14:textId="733F8387" w:rsidR="00805E10" w:rsidRPr="00805E10" w:rsidRDefault="00805E10" w:rsidP="00805E10">
            <w:pPr>
              <w:spacing w:after="160" w:line="259" w:lineRule="auto"/>
              <w:ind w:left="0"/>
              <w:rPr>
                <w:b/>
                <w:bCs/>
              </w:rPr>
            </w:pPr>
            <w:r w:rsidRPr="00805E10">
              <w:rPr>
                <w:b/>
                <w:bCs/>
              </w:rPr>
              <w:t xml:space="preserve">Localisation des postes </w:t>
            </w:r>
          </w:p>
        </w:tc>
        <w:tc>
          <w:tcPr>
            <w:tcW w:w="7108" w:type="dxa"/>
          </w:tcPr>
          <w:p w14:paraId="130CC5A2" w14:textId="6C650E43" w:rsidR="00805E10" w:rsidRPr="00805E10" w:rsidRDefault="00805E10" w:rsidP="00805E10">
            <w:pPr>
              <w:spacing w:after="160" w:line="259" w:lineRule="auto"/>
              <w:ind w:left="0"/>
              <w:rPr>
                <w:b/>
                <w:bCs/>
              </w:rPr>
            </w:pPr>
            <w:r w:rsidRPr="00805E10">
              <w:rPr>
                <w:b/>
                <w:bCs/>
                <w:color w:val="000000"/>
              </w:rPr>
              <w:t>Al Hoceima</w:t>
            </w:r>
          </w:p>
        </w:tc>
      </w:tr>
      <w:tr w:rsidR="00805E10" w14:paraId="69568090" w14:textId="77777777" w:rsidTr="00805E10">
        <w:trPr>
          <w:trHeight w:val="639"/>
        </w:trPr>
        <w:tc>
          <w:tcPr>
            <w:tcW w:w="3137" w:type="dxa"/>
          </w:tcPr>
          <w:p w14:paraId="1D5520AB" w14:textId="062B58B0" w:rsidR="00805E10" w:rsidRPr="00805E10" w:rsidRDefault="00805E10" w:rsidP="00805E10">
            <w:pPr>
              <w:spacing w:after="160" w:line="259" w:lineRule="auto"/>
              <w:ind w:left="0"/>
              <w:rPr>
                <w:b/>
                <w:bCs/>
              </w:rPr>
            </w:pPr>
            <w:r w:rsidRPr="00805E10">
              <w:rPr>
                <w:b/>
                <w:bCs/>
              </w:rPr>
              <w:t xml:space="preserve">Projet </w:t>
            </w:r>
          </w:p>
        </w:tc>
        <w:tc>
          <w:tcPr>
            <w:tcW w:w="7108" w:type="dxa"/>
          </w:tcPr>
          <w:p w14:paraId="65D2F6E4" w14:textId="0C585EDE" w:rsidR="00805E10" w:rsidRPr="00805E10" w:rsidRDefault="00805E10" w:rsidP="00805E10">
            <w:pPr>
              <w:spacing w:after="160" w:line="259" w:lineRule="auto"/>
              <w:ind w:left="0"/>
              <w:rPr>
                <w:b/>
                <w:bCs/>
              </w:rPr>
            </w:pPr>
            <w:r w:rsidRPr="00805E10">
              <w:rPr>
                <w:b/>
                <w:bCs/>
              </w:rPr>
              <w:t>Renforcement des capacités managériale</w:t>
            </w:r>
            <w:r w:rsidR="005061C0">
              <w:rPr>
                <w:b/>
                <w:bCs/>
              </w:rPr>
              <w:t>s</w:t>
            </w:r>
            <w:r w:rsidRPr="00805E10">
              <w:rPr>
                <w:b/>
                <w:bCs/>
              </w:rPr>
              <w:t xml:space="preserve"> </w:t>
            </w:r>
          </w:p>
        </w:tc>
      </w:tr>
    </w:tbl>
    <w:p w14:paraId="3C633C7B" w14:textId="2200C598" w:rsidR="00805E10" w:rsidRDefault="00805E10" w:rsidP="00805E10">
      <w:pPr>
        <w:spacing w:after="160" w:line="259" w:lineRule="auto"/>
        <w:ind w:left="0"/>
      </w:pPr>
    </w:p>
    <w:tbl>
      <w:tblPr>
        <w:tblpPr w:leftFromText="141" w:rightFromText="141" w:vertAnchor="text" w:horzAnchor="margin" w:tblpXSpec="center" w:tblpY="228"/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1"/>
      </w:tblGrid>
      <w:tr w:rsidR="00090644" w14:paraId="32CA2940" w14:textId="77777777" w:rsidTr="00090644">
        <w:trPr>
          <w:trHeight w:val="536"/>
        </w:trPr>
        <w:tc>
          <w:tcPr>
            <w:tcW w:w="10661" w:type="dxa"/>
            <w:shd w:val="clear" w:color="auto" w:fill="B4C6E7" w:themeFill="accent1" w:themeFillTint="66"/>
          </w:tcPr>
          <w:p w14:paraId="730570ED" w14:textId="77777777" w:rsidR="00090644" w:rsidRDefault="00090644" w:rsidP="00090644">
            <w:pPr>
              <w:spacing w:after="160" w:line="259" w:lineRule="auto"/>
              <w:ind w:left="0"/>
              <w:rPr>
                <w:b/>
                <w:bCs/>
                <w:sz w:val="26"/>
                <w:szCs w:val="26"/>
              </w:rPr>
            </w:pPr>
            <w:r w:rsidRPr="00EC02DD">
              <w:rPr>
                <w:b/>
                <w:bCs/>
                <w:sz w:val="26"/>
                <w:szCs w:val="26"/>
              </w:rPr>
              <w:t>Organisation</w:t>
            </w:r>
          </w:p>
        </w:tc>
      </w:tr>
      <w:tr w:rsidR="00090644" w14:paraId="1366FBF5" w14:textId="77777777" w:rsidTr="00090644">
        <w:trPr>
          <w:trHeight w:val="2048"/>
        </w:trPr>
        <w:tc>
          <w:tcPr>
            <w:tcW w:w="10661" w:type="dxa"/>
          </w:tcPr>
          <w:p w14:paraId="75A0DDE2" w14:textId="77777777" w:rsidR="00090644" w:rsidRPr="00A41099" w:rsidRDefault="00090644" w:rsidP="00090644">
            <w:pPr>
              <w:spacing w:after="160" w:line="259" w:lineRule="auto"/>
              <w:ind w:left="0"/>
              <w:jc w:val="both"/>
              <w:rPr>
                <w:sz w:val="26"/>
                <w:szCs w:val="26"/>
              </w:rPr>
            </w:pPr>
          </w:p>
          <w:p w14:paraId="75CB4ADE" w14:textId="6C68B769" w:rsidR="00090644" w:rsidRPr="00A41099" w:rsidRDefault="00090644" w:rsidP="00090644">
            <w:pPr>
              <w:spacing w:after="160" w:line="259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  <w:r w:rsidRPr="00A41099">
              <w:rPr>
                <w:sz w:val="26"/>
                <w:szCs w:val="26"/>
              </w:rPr>
              <w:t xml:space="preserve">Excellence Training &amp; Advisory Center est un cabinet de conseil et de formation sectoriellement actif.  Nous participons activement à l’organisation et la transformation des structures économiques et accompagnons pleinement tout acteur économique à fort potentiel. Nos services sont dédiés aux </w:t>
            </w:r>
            <w:r w:rsidR="005061C0" w:rsidRPr="005061C0">
              <w:rPr>
                <w:b/>
                <w:bCs/>
                <w:sz w:val="26"/>
                <w:szCs w:val="26"/>
              </w:rPr>
              <w:t>s</w:t>
            </w:r>
            <w:r w:rsidRPr="005061C0">
              <w:rPr>
                <w:b/>
                <w:bCs/>
                <w:sz w:val="26"/>
                <w:szCs w:val="26"/>
              </w:rPr>
              <w:t>ec</w:t>
            </w:r>
            <w:r w:rsidRPr="00A41099">
              <w:rPr>
                <w:b/>
                <w:bCs/>
                <w:sz w:val="26"/>
                <w:szCs w:val="26"/>
              </w:rPr>
              <w:t>teur</w:t>
            </w:r>
            <w:r w:rsidR="005061C0">
              <w:rPr>
                <w:b/>
                <w:bCs/>
                <w:sz w:val="26"/>
                <w:szCs w:val="26"/>
              </w:rPr>
              <w:t>s</w:t>
            </w:r>
            <w:r w:rsidRPr="00A41099">
              <w:rPr>
                <w:b/>
                <w:bCs/>
                <w:sz w:val="26"/>
                <w:szCs w:val="26"/>
              </w:rPr>
              <w:t xml:space="preserve"> privé</w:t>
            </w:r>
            <w:r w:rsidR="005061C0">
              <w:rPr>
                <w:b/>
                <w:bCs/>
                <w:sz w:val="26"/>
                <w:szCs w:val="26"/>
              </w:rPr>
              <w:t>s</w:t>
            </w:r>
            <w:r w:rsidRPr="00A41099">
              <w:rPr>
                <w:b/>
                <w:bCs/>
                <w:sz w:val="26"/>
                <w:szCs w:val="26"/>
              </w:rPr>
              <w:t xml:space="preserve"> (sociétés nationales &amp; internationales)</w:t>
            </w:r>
            <w:r w:rsidRPr="00A41099">
              <w:rPr>
                <w:sz w:val="26"/>
                <w:szCs w:val="26"/>
              </w:rPr>
              <w:t xml:space="preserve">, </w:t>
            </w:r>
            <w:r w:rsidR="005061C0" w:rsidRPr="005061C0">
              <w:rPr>
                <w:b/>
                <w:bCs/>
                <w:sz w:val="26"/>
                <w:szCs w:val="26"/>
              </w:rPr>
              <w:t>s</w:t>
            </w:r>
            <w:r w:rsidRPr="005061C0">
              <w:rPr>
                <w:b/>
                <w:bCs/>
                <w:sz w:val="26"/>
                <w:szCs w:val="26"/>
              </w:rPr>
              <w:t>e</w:t>
            </w:r>
            <w:r w:rsidRPr="00A41099">
              <w:rPr>
                <w:b/>
                <w:bCs/>
                <w:sz w:val="26"/>
                <w:szCs w:val="26"/>
              </w:rPr>
              <w:t>cteur public et semi-public,</w:t>
            </w:r>
            <w:r w:rsidRPr="00A41099">
              <w:rPr>
                <w:sz w:val="26"/>
                <w:szCs w:val="26"/>
              </w:rPr>
              <w:t xml:space="preserve"> </w:t>
            </w:r>
            <w:r w:rsidR="005061C0">
              <w:rPr>
                <w:sz w:val="26"/>
                <w:szCs w:val="26"/>
              </w:rPr>
              <w:t>s</w:t>
            </w:r>
            <w:r w:rsidRPr="00A41099">
              <w:rPr>
                <w:b/>
                <w:bCs/>
                <w:sz w:val="26"/>
                <w:szCs w:val="26"/>
              </w:rPr>
              <w:t>ecteur associatif et ONG Internationales</w:t>
            </w:r>
          </w:p>
          <w:p w14:paraId="5FBDE780" w14:textId="5336BBB1" w:rsidR="00090644" w:rsidRDefault="00090644" w:rsidP="00090644">
            <w:pPr>
              <w:spacing w:after="160" w:line="259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90644" w14:paraId="69A57D4A" w14:textId="77777777" w:rsidTr="00090644">
        <w:trPr>
          <w:trHeight w:val="375"/>
        </w:trPr>
        <w:tc>
          <w:tcPr>
            <w:tcW w:w="10661" w:type="dxa"/>
            <w:shd w:val="clear" w:color="auto" w:fill="B4C6E7" w:themeFill="accent1" w:themeFillTint="66"/>
          </w:tcPr>
          <w:p w14:paraId="6F3F4776" w14:textId="27AAEB9E" w:rsidR="00090644" w:rsidRPr="00090644" w:rsidRDefault="00090644" w:rsidP="00090644">
            <w:pPr>
              <w:spacing w:after="160" w:line="259" w:lineRule="auto"/>
              <w:ind w:left="0"/>
              <w:rPr>
                <w:b/>
                <w:bCs/>
                <w:sz w:val="26"/>
                <w:szCs w:val="26"/>
              </w:rPr>
            </w:pPr>
            <w:r w:rsidRPr="00EC02DD">
              <w:rPr>
                <w:b/>
                <w:bCs/>
                <w:sz w:val="26"/>
                <w:szCs w:val="26"/>
              </w:rPr>
              <w:t xml:space="preserve">Contexte du projet </w:t>
            </w:r>
          </w:p>
        </w:tc>
      </w:tr>
      <w:tr w:rsidR="00090644" w14:paraId="6F4808BA" w14:textId="77777777" w:rsidTr="00090644">
        <w:trPr>
          <w:trHeight w:val="2947"/>
        </w:trPr>
        <w:tc>
          <w:tcPr>
            <w:tcW w:w="10661" w:type="dxa"/>
          </w:tcPr>
          <w:p w14:paraId="3B2D482D" w14:textId="77777777" w:rsidR="00090644" w:rsidRDefault="00090644" w:rsidP="00090644">
            <w:pPr>
              <w:spacing w:after="160" w:line="259" w:lineRule="auto"/>
              <w:ind w:left="0"/>
              <w:jc w:val="both"/>
            </w:pPr>
          </w:p>
          <w:p w14:paraId="19D51AF3" w14:textId="54E6F40C" w:rsidR="00090644" w:rsidRPr="00A41099" w:rsidRDefault="00090644" w:rsidP="00090644">
            <w:pPr>
              <w:spacing w:after="160" w:line="259" w:lineRule="auto"/>
              <w:ind w:left="0"/>
              <w:jc w:val="both"/>
              <w:rPr>
                <w:sz w:val="26"/>
                <w:szCs w:val="26"/>
              </w:rPr>
            </w:pPr>
            <w:r w:rsidRPr="00A41099">
              <w:rPr>
                <w:sz w:val="26"/>
                <w:szCs w:val="26"/>
              </w:rPr>
              <w:t xml:space="preserve">Dans le cadre d’une mission menée en partenariat avec un de nos clients qui opère dans le secteur des organisations non-gouvernementales, nous cherchons des formateurs.trices expérimenté.es dans plusieurs domaines. </w:t>
            </w:r>
          </w:p>
          <w:p w14:paraId="65E07727" w14:textId="699FEC30" w:rsidR="00090644" w:rsidRPr="00A41099" w:rsidRDefault="00090644" w:rsidP="00A410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A41099">
              <w:rPr>
                <w:color w:val="000000"/>
                <w:sz w:val="26"/>
                <w:szCs w:val="26"/>
              </w:rPr>
              <w:t>Le pro</w:t>
            </w:r>
            <w:r w:rsidR="005061C0">
              <w:rPr>
                <w:color w:val="000000"/>
                <w:sz w:val="26"/>
                <w:szCs w:val="26"/>
              </w:rPr>
              <w:t xml:space="preserve">jet en question </w:t>
            </w:r>
            <w:r w:rsidRPr="00A41099">
              <w:rPr>
                <w:color w:val="000000"/>
                <w:sz w:val="26"/>
                <w:szCs w:val="26"/>
              </w:rPr>
              <w:t xml:space="preserve">vise, entre-autres, à renforcer les compétences </w:t>
            </w:r>
            <w:r w:rsidR="002E3546">
              <w:rPr>
                <w:color w:val="000000"/>
                <w:sz w:val="26"/>
                <w:szCs w:val="26"/>
              </w:rPr>
              <w:t xml:space="preserve">des </w:t>
            </w:r>
            <w:r w:rsidRPr="00A41099">
              <w:rPr>
                <w:color w:val="000000"/>
                <w:sz w:val="26"/>
                <w:szCs w:val="26"/>
              </w:rPr>
              <w:t>personnel</w:t>
            </w:r>
            <w:r w:rsidR="002E3546">
              <w:rPr>
                <w:color w:val="000000"/>
                <w:sz w:val="26"/>
                <w:szCs w:val="26"/>
              </w:rPr>
              <w:t xml:space="preserve">s </w:t>
            </w:r>
            <w:r w:rsidRPr="00A41099">
              <w:rPr>
                <w:color w:val="000000"/>
                <w:sz w:val="26"/>
                <w:szCs w:val="26"/>
              </w:rPr>
              <w:t xml:space="preserve">ayant des rôles de supervision et d’encadrement </w:t>
            </w:r>
            <w:r w:rsidR="002E3546">
              <w:rPr>
                <w:color w:val="000000"/>
                <w:sz w:val="26"/>
                <w:szCs w:val="26"/>
              </w:rPr>
              <w:t xml:space="preserve">dans plusieurs domaines. </w:t>
            </w:r>
          </w:p>
        </w:tc>
      </w:tr>
    </w:tbl>
    <w:p w14:paraId="0DD8317F" w14:textId="77777777" w:rsidR="00805E10" w:rsidRDefault="00805E10" w:rsidP="00805E10">
      <w:pPr>
        <w:spacing w:after="160" w:line="259" w:lineRule="auto"/>
        <w:ind w:left="0"/>
      </w:pPr>
    </w:p>
    <w:p w14:paraId="140321E3" w14:textId="77777777" w:rsidR="00090644" w:rsidRDefault="00090644" w:rsidP="00805E10">
      <w:pPr>
        <w:spacing w:after="160" w:line="259" w:lineRule="auto"/>
        <w:ind w:left="0"/>
        <w:rPr>
          <w:b/>
          <w:bCs/>
          <w:sz w:val="26"/>
          <w:szCs w:val="26"/>
        </w:rPr>
      </w:pPr>
    </w:p>
    <w:p w14:paraId="4E69E885" w14:textId="77777777" w:rsidR="00A41099" w:rsidRDefault="00A41099" w:rsidP="00805E10">
      <w:pPr>
        <w:spacing w:after="160" w:line="259" w:lineRule="auto"/>
        <w:ind w:left="0"/>
        <w:rPr>
          <w:b/>
          <w:bCs/>
          <w:sz w:val="26"/>
          <w:szCs w:val="26"/>
        </w:rPr>
      </w:pPr>
    </w:p>
    <w:p w14:paraId="1E6F795A" w14:textId="77777777" w:rsidR="001A05D4" w:rsidRDefault="001A05D4" w:rsidP="00805E10">
      <w:pPr>
        <w:spacing w:after="160" w:line="259" w:lineRule="auto"/>
        <w:ind w:left="0"/>
        <w:rPr>
          <w:b/>
          <w:bCs/>
          <w:sz w:val="26"/>
          <w:szCs w:val="26"/>
        </w:rPr>
      </w:pPr>
    </w:p>
    <w:tbl>
      <w:tblPr>
        <w:tblW w:w="102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9"/>
      </w:tblGrid>
      <w:tr w:rsidR="00090644" w14:paraId="7E7F15D7" w14:textId="77777777" w:rsidTr="00090644">
        <w:trPr>
          <w:trHeight w:val="699"/>
        </w:trPr>
        <w:tc>
          <w:tcPr>
            <w:tcW w:w="10249" w:type="dxa"/>
            <w:shd w:val="clear" w:color="auto" w:fill="B4C6E7" w:themeFill="accent1" w:themeFillTint="66"/>
          </w:tcPr>
          <w:p w14:paraId="2790F120" w14:textId="411089C6" w:rsidR="00090644" w:rsidRPr="00090644" w:rsidRDefault="00090644" w:rsidP="00090644">
            <w:pPr>
              <w:spacing w:after="160" w:line="259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Thématiques de la formation par bloc de compétences</w:t>
            </w:r>
          </w:p>
        </w:tc>
      </w:tr>
      <w:tr w:rsidR="00090644" w14:paraId="1E422838" w14:textId="77777777" w:rsidTr="00090644">
        <w:trPr>
          <w:trHeight w:val="4920"/>
        </w:trPr>
        <w:tc>
          <w:tcPr>
            <w:tcW w:w="10249" w:type="dxa"/>
          </w:tcPr>
          <w:p w14:paraId="4AAB5B12" w14:textId="77777777" w:rsidR="00090644" w:rsidRPr="00A41099" w:rsidRDefault="00090644" w:rsidP="00090644">
            <w:pPr>
              <w:spacing w:after="160" w:line="259" w:lineRule="auto"/>
              <w:ind w:left="0"/>
              <w:rPr>
                <w:rFonts w:cstheme="majorBidi"/>
                <w:b/>
                <w:bCs/>
                <w:sz w:val="26"/>
                <w:szCs w:val="26"/>
              </w:rPr>
            </w:pPr>
            <w:r w:rsidRPr="00A41099">
              <w:rPr>
                <w:rFonts w:cstheme="majorBidi"/>
                <w:b/>
                <w:bCs/>
                <w:sz w:val="26"/>
                <w:szCs w:val="26"/>
              </w:rPr>
              <w:t xml:space="preserve">Bloc de compétences N°1 : Compétences personnelles </w:t>
            </w:r>
          </w:p>
          <w:p w14:paraId="2AD1A246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Gestion du temps et Gestion des réunions.</w:t>
            </w:r>
          </w:p>
          <w:p w14:paraId="474B1E03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Communication personnelle et analyse transactionnelle.</w:t>
            </w:r>
          </w:p>
          <w:p w14:paraId="27CB36FA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Intelligence émotionnelle.</w:t>
            </w:r>
          </w:p>
          <w:p w14:paraId="3A08DF26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 xml:space="preserve">Gestion et motivation d’équipe. </w:t>
            </w:r>
          </w:p>
          <w:p w14:paraId="016595D7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Leadership situationnel</w:t>
            </w:r>
          </w:p>
          <w:p w14:paraId="31321533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Prévention des conflits et gestion des conversations difficiles.</w:t>
            </w:r>
          </w:p>
          <w:p w14:paraId="696412ED" w14:textId="77777777" w:rsidR="00090644" w:rsidRPr="00A41099" w:rsidRDefault="00090644" w:rsidP="00090644">
            <w:pPr>
              <w:spacing w:after="160" w:line="259" w:lineRule="auto"/>
              <w:ind w:left="0"/>
              <w:rPr>
                <w:rFonts w:cstheme="majorBidi"/>
                <w:b/>
                <w:bCs/>
                <w:sz w:val="26"/>
                <w:szCs w:val="26"/>
              </w:rPr>
            </w:pPr>
          </w:p>
          <w:p w14:paraId="3F370BCA" w14:textId="77777777" w:rsidR="00090644" w:rsidRPr="00A41099" w:rsidRDefault="00090644" w:rsidP="00090644">
            <w:pPr>
              <w:spacing w:after="160" w:line="259" w:lineRule="auto"/>
              <w:ind w:left="0"/>
              <w:rPr>
                <w:rFonts w:cstheme="majorBidi"/>
                <w:b/>
                <w:bCs/>
                <w:sz w:val="26"/>
                <w:szCs w:val="26"/>
              </w:rPr>
            </w:pPr>
            <w:r w:rsidRPr="00A41099">
              <w:rPr>
                <w:rFonts w:cstheme="majorBidi"/>
                <w:b/>
                <w:bCs/>
                <w:sz w:val="26"/>
                <w:szCs w:val="26"/>
              </w:rPr>
              <w:t xml:space="preserve">Bloc de compétences N°2 : Compétences institutionnelles </w:t>
            </w:r>
          </w:p>
          <w:p w14:paraId="3DCC25F1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Innovation et créativité en résolution de problèmes.</w:t>
            </w:r>
          </w:p>
          <w:p w14:paraId="5BD8550F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Protection des données à caractère personnel.</w:t>
            </w:r>
          </w:p>
          <w:p w14:paraId="1543F75E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Communication institutionnelle et techniques du Marketing social.</w:t>
            </w:r>
          </w:p>
          <w:p w14:paraId="6B759F99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Conduite du changement.</w:t>
            </w:r>
          </w:p>
          <w:p w14:paraId="1A78913E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Gestion des risques.</w:t>
            </w:r>
          </w:p>
          <w:p w14:paraId="1E68B74A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Partenariat et négociation.</w:t>
            </w:r>
          </w:p>
          <w:p w14:paraId="324C5B77" w14:textId="77777777" w:rsidR="00090644" w:rsidRPr="00A41099" w:rsidRDefault="00090644" w:rsidP="00090644">
            <w:pPr>
              <w:pStyle w:val="Paragraphedeliste"/>
              <w:spacing w:after="160" w:line="259" w:lineRule="auto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</w:p>
          <w:p w14:paraId="365DA5F2" w14:textId="77777777" w:rsidR="00090644" w:rsidRPr="00A41099" w:rsidRDefault="00090644" w:rsidP="00090644">
            <w:pPr>
              <w:pStyle w:val="Paragraphedeliste"/>
              <w:spacing w:after="160" w:line="259" w:lineRule="auto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</w:p>
          <w:p w14:paraId="41B3F3DB" w14:textId="77777777" w:rsidR="00090644" w:rsidRPr="00A41099" w:rsidRDefault="00090644" w:rsidP="00090644">
            <w:pPr>
              <w:spacing w:after="160" w:line="259" w:lineRule="auto"/>
              <w:ind w:left="0"/>
              <w:rPr>
                <w:rFonts w:cstheme="majorBidi"/>
                <w:b/>
                <w:bCs/>
                <w:sz w:val="26"/>
                <w:szCs w:val="26"/>
              </w:rPr>
            </w:pPr>
            <w:r w:rsidRPr="00A41099">
              <w:rPr>
                <w:rFonts w:cstheme="majorBidi"/>
                <w:b/>
                <w:bCs/>
                <w:sz w:val="26"/>
                <w:szCs w:val="26"/>
              </w:rPr>
              <w:t xml:space="preserve">Bloc de compétences N°3 : Compétences technologiques </w:t>
            </w:r>
          </w:p>
          <w:p w14:paraId="2F9EE237" w14:textId="77777777" w:rsidR="00090644" w:rsidRPr="00A41099" w:rsidRDefault="00090644" w:rsidP="00090644">
            <w:pPr>
              <w:pStyle w:val="Paragraphedeliste"/>
              <w:spacing w:after="160" w:line="259" w:lineRule="auto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</w:p>
          <w:p w14:paraId="7D5920A8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Sécurité électronique et protection des données numériques.</w:t>
            </w:r>
          </w:p>
          <w:p w14:paraId="5F46D493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Technologies modernes de collaboration, de collecte et de traitement de l’information.</w:t>
            </w:r>
          </w:p>
          <w:p w14:paraId="3B55FBDF" w14:textId="77777777" w:rsidR="00090644" w:rsidRPr="00A41099" w:rsidRDefault="00090644" w:rsidP="00090644">
            <w:pPr>
              <w:pStyle w:val="Paragraphedeliste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cstheme="majorBidi"/>
                <w:color w:val="000000"/>
                <w:sz w:val="26"/>
                <w:szCs w:val="26"/>
              </w:rPr>
            </w:pPr>
            <w:r w:rsidRPr="00A41099">
              <w:rPr>
                <w:rFonts w:cstheme="majorBidi"/>
                <w:color w:val="000000"/>
                <w:sz w:val="26"/>
                <w:szCs w:val="26"/>
              </w:rPr>
              <w:t>Utilisation professionnelle des réseaux sociaux.</w:t>
            </w:r>
          </w:p>
          <w:p w14:paraId="1B7CCFF2" w14:textId="77777777" w:rsidR="00090644" w:rsidRDefault="00090644" w:rsidP="00090644">
            <w:pPr>
              <w:spacing w:after="160" w:line="259" w:lineRule="auto"/>
              <w:ind w:left="0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14:paraId="09C00301" w14:textId="77777777" w:rsidR="00E5453D" w:rsidRDefault="00E5453D" w:rsidP="000906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75FEF729" w14:textId="77777777" w:rsidR="00E5453D" w:rsidRDefault="00E5453D" w:rsidP="000906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6F8A3961" w14:textId="77777777" w:rsidR="00E5453D" w:rsidRDefault="00E5453D" w:rsidP="000906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30EAE88E" w14:textId="77777777" w:rsidR="00E5453D" w:rsidRDefault="00E5453D" w:rsidP="000906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528A7331" w14:textId="53E63C49" w:rsidR="00BB7802" w:rsidRDefault="00BB7802" w:rsidP="00805E10">
      <w:pPr>
        <w:spacing w:after="160" w:line="259" w:lineRule="auto"/>
        <w:ind w:left="0"/>
        <w:rPr>
          <w:color w:val="000000"/>
        </w:rPr>
      </w:pPr>
    </w:p>
    <w:p w14:paraId="42A3A9C4" w14:textId="41CB039E" w:rsidR="000745E4" w:rsidRDefault="000745E4" w:rsidP="00805E10">
      <w:pPr>
        <w:spacing w:after="160" w:line="259" w:lineRule="auto"/>
        <w:ind w:left="0"/>
      </w:pPr>
    </w:p>
    <w:p w14:paraId="2456A86E" w14:textId="77777777" w:rsidR="000745E4" w:rsidRDefault="000745E4" w:rsidP="00805E10">
      <w:pPr>
        <w:spacing w:after="160" w:line="259" w:lineRule="auto"/>
        <w:ind w:left="0"/>
      </w:pPr>
    </w:p>
    <w:p w14:paraId="7A28A8C9" w14:textId="77777777" w:rsidR="000745E4" w:rsidRDefault="000745E4" w:rsidP="00805E10">
      <w:pPr>
        <w:spacing w:after="160" w:line="259" w:lineRule="auto"/>
        <w:ind w:left="0"/>
      </w:pPr>
    </w:p>
    <w:tbl>
      <w:tblPr>
        <w:tblW w:w="936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41099" w14:paraId="63379EFA" w14:textId="77777777" w:rsidTr="005061C0">
        <w:trPr>
          <w:trHeight w:val="443"/>
        </w:trPr>
        <w:tc>
          <w:tcPr>
            <w:tcW w:w="9360" w:type="dxa"/>
            <w:shd w:val="clear" w:color="auto" w:fill="B4C6E7" w:themeFill="accent1" w:themeFillTint="66"/>
          </w:tcPr>
          <w:p w14:paraId="301CFD8C" w14:textId="4A1D2933" w:rsidR="00A41099" w:rsidRPr="005061C0" w:rsidRDefault="00A41099" w:rsidP="00A41099">
            <w:pPr>
              <w:shd w:val="clear" w:color="auto" w:fill="B4C6E7" w:themeFill="accent1" w:themeFillTint="66"/>
              <w:tabs>
                <w:tab w:val="left" w:pos="8184"/>
              </w:tabs>
              <w:spacing w:before="100" w:beforeAutospacing="1" w:after="100" w:afterAutospacing="1" w:line="240" w:lineRule="auto"/>
              <w:ind w:left="0"/>
              <w:jc w:val="both"/>
              <w:rPr>
                <w:rFonts w:eastAsia="Times New Roman" w:cstheme="majorBidi"/>
                <w:b/>
                <w:bCs/>
                <w:sz w:val="26"/>
                <w:szCs w:val="26"/>
                <w:lang w:eastAsia="fr-FR"/>
              </w:rPr>
            </w:pPr>
            <w:r w:rsidRPr="005061C0">
              <w:rPr>
                <w:rFonts w:eastAsia="Times New Roman" w:cstheme="majorBidi"/>
                <w:b/>
                <w:bCs/>
                <w:sz w:val="26"/>
                <w:szCs w:val="26"/>
                <w:lang w:eastAsia="fr-FR"/>
              </w:rPr>
              <w:t>Présentation de la prestation atten</w:t>
            </w:r>
            <w:r w:rsidR="000745E4">
              <w:rPr>
                <w:rFonts w:eastAsia="Times New Roman" w:cstheme="majorBidi"/>
                <w:b/>
                <w:bCs/>
                <w:sz w:val="26"/>
                <w:szCs w:val="26"/>
                <w:lang w:eastAsia="fr-FR"/>
              </w:rPr>
              <w:t>d</w:t>
            </w:r>
            <w:r w:rsidRPr="005061C0">
              <w:rPr>
                <w:rFonts w:eastAsia="Times New Roman" w:cstheme="majorBidi"/>
                <w:b/>
                <w:bCs/>
                <w:sz w:val="26"/>
                <w:szCs w:val="26"/>
                <w:lang w:eastAsia="fr-FR"/>
              </w:rPr>
              <w:t xml:space="preserve">ue </w:t>
            </w:r>
            <w:r w:rsidRPr="005061C0">
              <w:rPr>
                <w:rFonts w:eastAsia="Times New Roman" w:cstheme="majorBidi"/>
                <w:b/>
                <w:bCs/>
                <w:sz w:val="26"/>
                <w:szCs w:val="26"/>
                <w:lang w:eastAsia="fr-FR"/>
              </w:rPr>
              <w:tab/>
            </w:r>
          </w:p>
        </w:tc>
      </w:tr>
      <w:tr w:rsidR="00A41099" w14:paraId="6DED9ABE" w14:textId="77777777" w:rsidTr="00A41099">
        <w:trPr>
          <w:trHeight w:val="936"/>
        </w:trPr>
        <w:tc>
          <w:tcPr>
            <w:tcW w:w="9360" w:type="dxa"/>
          </w:tcPr>
          <w:p w14:paraId="3C65DAFB" w14:textId="77777777" w:rsidR="00A41099" w:rsidRDefault="00A41099" w:rsidP="00A41099">
            <w:pPr>
              <w:spacing w:after="160" w:line="259" w:lineRule="auto"/>
              <w:ind w:left="193"/>
              <w:rPr>
                <w:b/>
                <w:bCs/>
              </w:rPr>
            </w:pPr>
          </w:p>
          <w:p w14:paraId="37AB1C92" w14:textId="77777777" w:rsidR="00A41099" w:rsidRPr="00A41099" w:rsidRDefault="00A41099" w:rsidP="00A41099">
            <w:p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La méthodologie à adopter par le formateur(</w:t>
            </w:r>
            <w:proofErr w:type="spellStart"/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trice</w:t>
            </w:r>
            <w:proofErr w:type="spellEnd"/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) au cours de la formation doit être participative et interactive, ainsi, le formateur(</w:t>
            </w:r>
            <w:proofErr w:type="spellStart"/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trice</w:t>
            </w:r>
            <w:proofErr w:type="spellEnd"/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) est appelé(e) à :</w:t>
            </w:r>
          </w:p>
          <w:p w14:paraId="3A73D9D7" w14:textId="32DD0958" w:rsidR="00A41099" w:rsidRDefault="00A41099" w:rsidP="00A410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Mener une formation à orientation participative et pratique, basée sur des techniques d’apprentissage dynamiques et créatives, afin de renforcer les aptitudes des participant(e)s et favoriser leur contribution efficace à la transmission de leurs acquis ;</w:t>
            </w:r>
          </w:p>
          <w:p w14:paraId="64BC49C9" w14:textId="7AEB56CA" w:rsidR="00585ED7" w:rsidRPr="00A41099" w:rsidRDefault="00585ED7" w:rsidP="00A410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Mener une évaluation préformation et post formation </w:t>
            </w:r>
          </w:p>
          <w:p w14:paraId="0978EDEB" w14:textId="77777777" w:rsidR="00A41099" w:rsidRPr="00A41099" w:rsidRDefault="00A41099" w:rsidP="00A410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Alterner des présentations en plénière et des travaux de groupe pour mieux mobiliser les participant(e)s;</w:t>
            </w:r>
          </w:p>
          <w:p w14:paraId="7F4BF78E" w14:textId="77777777" w:rsidR="00A41099" w:rsidRPr="00A41099" w:rsidRDefault="00A41099" w:rsidP="00A410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Inciter le public cible à interagir efficacement lors des travaux de groupe ;</w:t>
            </w:r>
          </w:p>
          <w:p w14:paraId="206502B7" w14:textId="77777777" w:rsidR="00A41099" w:rsidRPr="00A41099" w:rsidRDefault="00A41099" w:rsidP="00A410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Faire recours aux techniques d’animation participatives et diversifiées (exercices d’application, jeux de rôle, travaux de groupe, questions de réflexion, brainstorming, etc.)</w:t>
            </w:r>
          </w:p>
          <w:p w14:paraId="5E25F155" w14:textId="77777777" w:rsidR="00A41099" w:rsidRPr="00A41099" w:rsidRDefault="00A41099" w:rsidP="00A410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Utiliser des supports audiovisuels (photos, vidéos, etc.) ;</w:t>
            </w:r>
          </w:p>
          <w:p w14:paraId="70A83553" w14:textId="77777777" w:rsidR="00A41099" w:rsidRPr="00A41099" w:rsidRDefault="00A41099" w:rsidP="00A410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Illustrer les présentations avec des cas pratiques concrets ;</w:t>
            </w:r>
          </w:p>
          <w:p w14:paraId="00129D21" w14:textId="77777777" w:rsidR="00A41099" w:rsidRPr="00A41099" w:rsidRDefault="00A41099" w:rsidP="00A4109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Adapter les techniques et contenus aux caractéristiques spécifiques du public cible ;</w:t>
            </w:r>
          </w:p>
          <w:p w14:paraId="2EEC73FB" w14:textId="319D0644" w:rsidR="000745E4" w:rsidRDefault="00A41099" w:rsidP="007E23D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Animer les jours de formation en langue </w:t>
            </w:r>
            <w:r w:rsidR="005061C0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français</w:t>
            </w:r>
            <w:r w:rsidR="00585ED7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e</w:t>
            </w:r>
            <w:r w:rsidR="005061C0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 </w:t>
            </w:r>
            <w:r w:rsidR="00585ED7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et en (arabe si besoin)</w:t>
            </w:r>
          </w:p>
          <w:p w14:paraId="15EC6D84" w14:textId="33CA7880" w:rsidR="00585ED7" w:rsidRPr="00585ED7" w:rsidRDefault="00585ED7" w:rsidP="00585ED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E557BE"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>Fournir un référentiel</w:t>
            </w:r>
            <w:r w:rsidRPr="00585ED7"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 xml:space="preserve"> de formation détaillé </w:t>
            </w:r>
            <w:r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 xml:space="preserve">incluant </w:t>
            </w:r>
            <w:r w:rsidRPr="00585ED7"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>les outils pédagogiques utilisé</w:t>
            </w:r>
            <w:r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 xml:space="preserve">s au cours de la formation </w:t>
            </w:r>
            <w:r w:rsidR="00E557BE"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 xml:space="preserve">dans un délais de 4 jours après la fin de la formation </w:t>
            </w:r>
          </w:p>
          <w:p w14:paraId="583F07C3" w14:textId="0519AC5E" w:rsidR="007E23D3" w:rsidRDefault="007E23D3" w:rsidP="007E23D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</w:p>
          <w:p w14:paraId="44F65489" w14:textId="3915E310" w:rsidR="007E23D3" w:rsidRDefault="007E23D3" w:rsidP="007E23D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</w:p>
          <w:p w14:paraId="17B4A7BE" w14:textId="0893F014" w:rsidR="007E23D3" w:rsidRDefault="007E23D3" w:rsidP="007E23D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</w:p>
          <w:p w14:paraId="2E6DF0C1" w14:textId="4AB9EC83" w:rsidR="007E23D3" w:rsidRDefault="007E23D3" w:rsidP="007E23D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</w:p>
          <w:p w14:paraId="5DFA7F2C" w14:textId="794F9C5B" w:rsidR="00C46D97" w:rsidRPr="00C46D97" w:rsidRDefault="00C46D97" w:rsidP="00C46D97">
            <w:pPr>
              <w:ind w:left="0"/>
              <w:rPr>
                <w:rFonts w:eastAsia="Times New Roman" w:cstheme="majorBidi"/>
                <w:sz w:val="26"/>
                <w:szCs w:val="26"/>
                <w:lang w:eastAsia="fr-FR"/>
              </w:rPr>
            </w:pPr>
          </w:p>
        </w:tc>
      </w:tr>
      <w:tr w:rsidR="00A41099" w14:paraId="4E579D95" w14:textId="77777777" w:rsidTr="005061C0">
        <w:trPr>
          <w:trHeight w:val="402"/>
        </w:trPr>
        <w:tc>
          <w:tcPr>
            <w:tcW w:w="9360" w:type="dxa"/>
            <w:shd w:val="clear" w:color="auto" w:fill="B4C6E7" w:themeFill="accent1" w:themeFillTint="66"/>
          </w:tcPr>
          <w:p w14:paraId="7D62B21A" w14:textId="7EEF6A39" w:rsidR="005061C0" w:rsidRDefault="000745E4" w:rsidP="005061C0">
            <w:pPr>
              <w:spacing w:after="160" w:line="259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Profil recherché </w:t>
            </w:r>
          </w:p>
        </w:tc>
      </w:tr>
      <w:tr w:rsidR="005061C0" w14:paraId="7569889A" w14:textId="77777777" w:rsidTr="007E23D3">
        <w:trPr>
          <w:trHeight w:val="6035"/>
        </w:trPr>
        <w:tc>
          <w:tcPr>
            <w:tcW w:w="9360" w:type="dxa"/>
          </w:tcPr>
          <w:p w14:paraId="6304F400" w14:textId="738E5DD9" w:rsidR="005061C0" w:rsidRPr="00A41099" w:rsidRDefault="005061C0" w:rsidP="005061C0">
            <w:pPr>
              <w:shd w:val="clear" w:color="auto" w:fill="FFFFFF"/>
              <w:spacing w:before="100" w:beforeAutospacing="1" w:after="360" w:line="240" w:lineRule="auto"/>
              <w:ind w:left="0"/>
              <w:rPr>
                <w:rFonts w:eastAsia="Times New Roman" w:cstheme="majorBidi"/>
                <w:color w:val="30303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En vue de réaliser cette mission, le formateur/formatrice devra répondre aux qualifications suivantes : </w:t>
            </w:r>
          </w:p>
          <w:p w14:paraId="50119A9C" w14:textId="77777777" w:rsidR="005061C0" w:rsidRPr="007E23D3" w:rsidRDefault="005061C0" w:rsidP="005061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303030"/>
                <w:sz w:val="26"/>
                <w:szCs w:val="26"/>
                <w:lang w:eastAsia="fr-FR"/>
              </w:rPr>
            </w:pPr>
            <w:r w:rsidRPr="007E23D3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Disposer d’une formation universitaire de haut niveau dans des domaines en relation avec les prestations demandées.</w:t>
            </w:r>
          </w:p>
          <w:p w14:paraId="4E65411E" w14:textId="77777777" w:rsidR="005061C0" w:rsidRPr="007E23D3" w:rsidRDefault="005061C0" w:rsidP="005061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303030"/>
                <w:sz w:val="26"/>
                <w:szCs w:val="26"/>
                <w:lang w:eastAsia="fr-FR"/>
              </w:rPr>
            </w:pPr>
            <w:r w:rsidRPr="007E23D3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Formation complémentaire et/ou expérience en thématiques sus mentionnées</w:t>
            </w:r>
          </w:p>
          <w:p w14:paraId="4F81F6A9" w14:textId="3F546F91" w:rsidR="005061C0" w:rsidRPr="007E23D3" w:rsidRDefault="005061C0" w:rsidP="007E23D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303030"/>
                <w:sz w:val="26"/>
                <w:szCs w:val="26"/>
                <w:lang w:eastAsia="fr-FR"/>
              </w:rPr>
            </w:pPr>
            <w:r w:rsidRPr="007E23D3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Disposer d’une expérience probante dans la facilitation et l’animation d´ateliers de formation dans un ou plusieurs thématiques </w:t>
            </w:r>
            <w:r w:rsidR="007E23D3" w:rsidRPr="007E23D3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retenues.</w:t>
            </w:r>
          </w:p>
          <w:p w14:paraId="47E099EB" w14:textId="7139EBC5" w:rsidR="005061C0" w:rsidRPr="007E23D3" w:rsidRDefault="005061C0" w:rsidP="005061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303030"/>
                <w:sz w:val="26"/>
                <w:szCs w:val="26"/>
                <w:lang w:eastAsia="fr-FR"/>
              </w:rPr>
            </w:pPr>
            <w:r w:rsidRPr="007E23D3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Disposer d’un diplôme de formation pour les formateurs</w:t>
            </w:r>
            <w:r w:rsidR="000745E4" w:rsidRPr="007E23D3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. TOT </w:t>
            </w:r>
            <w:r w:rsidRPr="007E23D3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(atout)</w:t>
            </w:r>
          </w:p>
          <w:p w14:paraId="0E7DB520" w14:textId="77777777" w:rsidR="005061C0" w:rsidRPr="007E23D3" w:rsidRDefault="005061C0" w:rsidP="005061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7E23D3">
              <w:rPr>
                <w:rFonts w:eastAsia="Times New Roman" w:cstheme="majorBidi"/>
                <w:color w:val="303030"/>
                <w:sz w:val="26"/>
                <w:szCs w:val="26"/>
                <w:lang w:eastAsia="fr-FR"/>
              </w:rPr>
              <w:t xml:space="preserve">Avoir un sens pédagogique et une appétence pour la Ludo </w:t>
            </w:r>
            <w:r w:rsidRPr="007E23D3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pédagogie</w:t>
            </w:r>
          </w:p>
          <w:p w14:paraId="079A3D8F" w14:textId="06808AC5" w:rsidR="005061C0" w:rsidRPr="007E23D3" w:rsidRDefault="005061C0" w:rsidP="005061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7E23D3">
              <w:rPr>
                <w:rFonts w:eastAsia="Times New Roman" w:cstheme="majorBidi"/>
                <w:color w:val="303030"/>
                <w:sz w:val="26"/>
                <w:szCs w:val="26"/>
                <w:lang w:eastAsia="fr-FR"/>
              </w:rPr>
              <w:t xml:space="preserve">Expérience confirmée dans la conception des contenus pédagogiques </w:t>
            </w:r>
            <w:r w:rsidRPr="007E23D3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 </w:t>
            </w:r>
          </w:p>
          <w:p w14:paraId="43383B84" w14:textId="77777777" w:rsidR="005061C0" w:rsidRPr="00A41099" w:rsidRDefault="005061C0" w:rsidP="005061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7E23D3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 Capacité à se positionner sur les différents</w:t>
            </w: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 niveaux d’accompagnement (Coach, </w:t>
            </w:r>
            <w:proofErr w:type="spellStart"/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Formateur·trice</w:t>
            </w:r>
            <w:proofErr w:type="spellEnd"/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, </w:t>
            </w:r>
            <w:proofErr w:type="spellStart"/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Facilitateur·trice</w:t>
            </w:r>
            <w:proofErr w:type="spellEnd"/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)</w:t>
            </w:r>
          </w:p>
          <w:p w14:paraId="5F500301" w14:textId="77777777" w:rsidR="005061C0" w:rsidRPr="007E23D3" w:rsidRDefault="005061C0" w:rsidP="005061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Connaissance du </w:t>
            </w:r>
            <w:r w:rsidRPr="007E23D3"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>contexte local de travail des acteurs du système éducatif de la région</w:t>
            </w:r>
          </w:p>
          <w:p w14:paraId="1B902537" w14:textId="77777777" w:rsidR="005061C0" w:rsidRDefault="005061C0" w:rsidP="005061C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Maitrise des approches pédagogiques actives  </w:t>
            </w:r>
          </w:p>
          <w:p w14:paraId="4DF61AA8" w14:textId="7921E7D7" w:rsidR="005061C0" w:rsidRPr="007E23D3" w:rsidRDefault="005061C0" w:rsidP="007E23D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Excellente maitrise des langues arabe et française à l’écrit et à l’ora</w:t>
            </w:r>
            <w:r w:rsidR="007E23D3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l</w:t>
            </w:r>
          </w:p>
        </w:tc>
      </w:tr>
      <w:tr w:rsidR="00A41099" w14:paraId="3836EA73" w14:textId="77777777" w:rsidTr="005061C0">
        <w:trPr>
          <w:trHeight w:val="435"/>
        </w:trPr>
        <w:tc>
          <w:tcPr>
            <w:tcW w:w="9360" w:type="dxa"/>
            <w:shd w:val="clear" w:color="auto" w:fill="B4C6E7" w:themeFill="accent1" w:themeFillTint="66"/>
          </w:tcPr>
          <w:p w14:paraId="696A9083" w14:textId="2BA9EAA5" w:rsidR="00A41099" w:rsidRPr="005061C0" w:rsidRDefault="005061C0" w:rsidP="00A41099">
            <w:pPr>
              <w:spacing w:after="160" w:line="259" w:lineRule="auto"/>
              <w:ind w:left="193"/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5061C0"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 xml:space="preserve">Candidature </w:t>
            </w:r>
          </w:p>
        </w:tc>
      </w:tr>
      <w:tr w:rsidR="00A41099" w14:paraId="571C4846" w14:textId="77777777" w:rsidTr="00A41099">
        <w:trPr>
          <w:trHeight w:val="1752"/>
        </w:trPr>
        <w:tc>
          <w:tcPr>
            <w:tcW w:w="9360" w:type="dxa"/>
          </w:tcPr>
          <w:p w14:paraId="2FE2B6C5" w14:textId="1AFC4149" w:rsidR="00A41099" w:rsidRPr="00A41099" w:rsidRDefault="00A41099" w:rsidP="00A41099">
            <w:p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</w:pP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Les candidats dont les profils corresponds à ceux recherchés sont priés à envoyer leurs CV+ </w:t>
            </w:r>
            <w:proofErr w:type="spellStart"/>
            <w:r w:rsidR="00585ED7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diplômes+</w:t>
            </w: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>lettre</w:t>
            </w:r>
            <w:proofErr w:type="spellEnd"/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 de </w:t>
            </w:r>
            <w:r w:rsidR="000745E4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références </w:t>
            </w:r>
            <w:r w:rsidRPr="00A41099">
              <w:rPr>
                <w:rFonts w:eastAsia="Times New Roman" w:cstheme="majorBidi"/>
                <w:color w:val="000000"/>
                <w:sz w:val="26"/>
                <w:szCs w:val="26"/>
                <w:lang w:eastAsia="fr-FR"/>
              </w:rPr>
              <w:t xml:space="preserve">aux adresses suivantes </w:t>
            </w:r>
          </w:p>
          <w:p w14:paraId="555E9717" w14:textId="6016B205" w:rsidR="00A41099" w:rsidRPr="00A41099" w:rsidRDefault="00000000" w:rsidP="00A41099">
            <w:pPr>
              <w:shd w:val="clear" w:color="auto" w:fill="FFFFFF"/>
              <w:spacing w:before="100" w:beforeAutospacing="1" w:after="100" w:afterAutospacing="1" w:line="240" w:lineRule="auto"/>
              <w:ind w:left="0"/>
              <w:jc w:val="both"/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</w:pPr>
            <w:hyperlink r:id="rId7" w:history="1">
              <w:r w:rsidR="00585ED7" w:rsidRPr="004A58B9">
                <w:rPr>
                  <w:rStyle w:val="Lienhypertexte"/>
                </w:rPr>
                <w:t>contact@etac.ma</w:t>
              </w:r>
            </w:hyperlink>
            <w:r w:rsidR="00585ED7">
              <w:t xml:space="preserve"> </w:t>
            </w:r>
            <w:r w:rsidR="00A41099" w:rsidRPr="00A41099"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>et cet avant le 2</w:t>
            </w:r>
            <w:r w:rsidR="00450475"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>8</w:t>
            </w:r>
            <w:r w:rsidR="00A41099" w:rsidRPr="00A41099"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 xml:space="preserve"> février 2023 à </w:t>
            </w:r>
            <w:r w:rsidR="000745E4" w:rsidRPr="00A41099"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>minuit.</w:t>
            </w:r>
            <w:r w:rsidR="00A41099"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 xml:space="preserve"> </w:t>
            </w:r>
            <w:r w:rsidR="00A41099" w:rsidRPr="00A41099">
              <w:rPr>
                <w:rFonts w:eastAsia="Times New Roman" w:cstheme="majorBidi"/>
                <w:b/>
                <w:bCs/>
                <w:color w:val="000000"/>
                <w:sz w:val="26"/>
                <w:szCs w:val="26"/>
                <w:lang w:eastAsia="fr-FR"/>
              </w:rPr>
              <w:t>Seuls les candidats présélectionnés seront contactés</w:t>
            </w:r>
          </w:p>
          <w:p w14:paraId="2695AD0B" w14:textId="77777777" w:rsidR="00A41099" w:rsidRDefault="00A41099" w:rsidP="00A41099">
            <w:pPr>
              <w:spacing w:after="160" w:line="259" w:lineRule="auto"/>
              <w:ind w:left="193"/>
              <w:rPr>
                <w:rFonts w:cstheme="majorBidi"/>
                <w:b/>
                <w:bCs/>
                <w:color w:val="000000"/>
                <w:szCs w:val="24"/>
              </w:rPr>
            </w:pPr>
          </w:p>
        </w:tc>
      </w:tr>
    </w:tbl>
    <w:p w14:paraId="36DE7290" w14:textId="77777777" w:rsidR="00E5453D" w:rsidRPr="00395B18" w:rsidRDefault="00E5453D" w:rsidP="003E5D8D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theme="majorBidi"/>
          <w:b/>
          <w:bCs/>
          <w:color w:val="000000"/>
          <w:szCs w:val="24"/>
          <w:lang w:eastAsia="fr-FR"/>
        </w:rPr>
      </w:pPr>
    </w:p>
    <w:sectPr w:rsidR="00E5453D" w:rsidRPr="00395B1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8D25" w14:textId="77777777" w:rsidR="000377FF" w:rsidRDefault="000377FF" w:rsidP="00545C90">
      <w:pPr>
        <w:spacing w:line="240" w:lineRule="auto"/>
      </w:pPr>
      <w:r>
        <w:separator/>
      </w:r>
    </w:p>
  </w:endnote>
  <w:endnote w:type="continuationSeparator" w:id="0">
    <w:p w14:paraId="0F72E9EC" w14:textId="77777777" w:rsidR="000377FF" w:rsidRDefault="000377FF" w:rsidP="00545C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2B680" w14:textId="77777777" w:rsidR="000377FF" w:rsidRDefault="000377FF" w:rsidP="00545C90">
      <w:pPr>
        <w:spacing w:line="240" w:lineRule="auto"/>
      </w:pPr>
      <w:r>
        <w:separator/>
      </w:r>
    </w:p>
  </w:footnote>
  <w:footnote w:type="continuationSeparator" w:id="0">
    <w:p w14:paraId="20C91607" w14:textId="77777777" w:rsidR="000377FF" w:rsidRDefault="000377FF" w:rsidP="00545C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22FC" w14:textId="36A7F6D0" w:rsidR="00545C90" w:rsidRDefault="00545C9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B46D24" wp14:editId="2ECC5424">
          <wp:simplePos x="0" y="0"/>
          <wp:positionH relativeFrom="margin">
            <wp:posOffset>1900555</wp:posOffset>
          </wp:positionH>
          <wp:positionV relativeFrom="margin">
            <wp:posOffset>-747395</wp:posOffset>
          </wp:positionV>
          <wp:extent cx="2162175" cy="165735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923"/>
    <w:multiLevelType w:val="hybridMultilevel"/>
    <w:tmpl w:val="3252C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5DB2"/>
    <w:multiLevelType w:val="multilevel"/>
    <w:tmpl w:val="6184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7012A5"/>
    <w:multiLevelType w:val="multilevel"/>
    <w:tmpl w:val="DFA8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903E7"/>
    <w:multiLevelType w:val="multilevel"/>
    <w:tmpl w:val="B2F6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B0096"/>
    <w:multiLevelType w:val="hybridMultilevel"/>
    <w:tmpl w:val="CA72FD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F210B40"/>
    <w:multiLevelType w:val="hybridMultilevel"/>
    <w:tmpl w:val="9F32D4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81D0B"/>
    <w:multiLevelType w:val="hybridMultilevel"/>
    <w:tmpl w:val="AA14423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272FC1"/>
    <w:multiLevelType w:val="multilevel"/>
    <w:tmpl w:val="854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7591701">
    <w:abstractNumId w:val="0"/>
  </w:num>
  <w:num w:numId="2" w16cid:durableId="1140613533">
    <w:abstractNumId w:val="3"/>
  </w:num>
  <w:num w:numId="3" w16cid:durableId="2012440121">
    <w:abstractNumId w:val="7"/>
  </w:num>
  <w:num w:numId="4" w16cid:durableId="163400259">
    <w:abstractNumId w:val="1"/>
  </w:num>
  <w:num w:numId="5" w16cid:durableId="2145615758">
    <w:abstractNumId w:val="4"/>
  </w:num>
  <w:num w:numId="6" w16cid:durableId="52395157">
    <w:abstractNumId w:val="5"/>
  </w:num>
  <w:num w:numId="7" w16cid:durableId="491651293">
    <w:abstractNumId w:val="6"/>
  </w:num>
  <w:num w:numId="8" w16cid:durableId="781386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1F"/>
    <w:rsid w:val="00000DB0"/>
    <w:rsid w:val="000377FF"/>
    <w:rsid w:val="000745E4"/>
    <w:rsid w:val="00090644"/>
    <w:rsid w:val="000D50C9"/>
    <w:rsid w:val="001177C4"/>
    <w:rsid w:val="001A05D4"/>
    <w:rsid w:val="001B6BCD"/>
    <w:rsid w:val="00216607"/>
    <w:rsid w:val="00217638"/>
    <w:rsid w:val="002255E1"/>
    <w:rsid w:val="002E3546"/>
    <w:rsid w:val="00384A6D"/>
    <w:rsid w:val="00395B18"/>
    <w:rsid w:val="003E5D8D"/>
    <w:rsid w:val="00425156"/>
    <w:rsid w:val="00450475"/>
    <w:rsid w:val="005061C0"/>
    <w:rsid w:val="00545C90"/>
    <w:rsid w:val="00585ED7"/>
    <w:rsid w:val="00600A65"/>
    <w:rsid w:val="006130F4"/>
    <w:rsid w:val="0074157B"/>
    <w:rsid w:val="00797F8E"/>
    <w:rsid w:val="007B57CB"/>
    <w:rsid w:val="007E23D3"/>
    <w:rsid w:val="00805E10"/>
    <w:rsid w:val="008E6299"/>
    <w:rsid w:val="00A41099"/>
    <w:rsid w:val="00AD5FC5"/>
    <w:rsid w:val="00BB7802"/>
    <w:rsid w:val="00C46D97"/>
    <w:rsid w:val="00DD3463"/>
    <w:rsid w:val="00E5453D"/>
    <w:rsid w:val="00E557BE"/>
    <w:rsid w:val="00EC02DD"/>
    <w:rsid w:val="00F2311F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9BEEB"/>
  <w15:docId w15:val="{FB940AFB-8B91-40D8-8BFA-09A614D6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rps du  texte"/>
    <w:qFormat/>
    <w:rsid w:val="00425156"/>
    <w:pPr>
      <w:spacing w:after="0" w:line="360" w:lineRule="auto"/>
      <w:ind w:left="708"/>
    </w:pPr>
    <w:rPr>
      <w:rFonts w:asciiTheme="majorBidi" w:hAnsiTheme="majorBidi"/>
      <w:color w:val="000000" w:themeColor="text1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5C9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C90"/>
    <w:rPr>
      <w:rFonts w:asciiTheme="majorBidi" w:hAnsiTheme="majorBidi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45C9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C90"/>
    <w:rPr>
      <w:rFonts w:asciiTheme="majorBidi" w:hAnsiTheme="majorBidi"/>
      <w:color w:val="000000" w:themeColor="text1"/>
      <w:sz w:val="24"/>
    </w:rPr>
  </w:style>
  <w:style w:type="paragraph" w:styleId="Paragraphedeliste">
    <w:name w:val="List Paragraph"/>
    <w:basedOn w:val="Normal"/>
    <w:uiPriority w:val="34"/>
    <w:qFormat/>
    <w:rsid w:val="000D50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50C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Cs w:val="24"/>
      <w:lang w:eastAsia="fr-FR"/>
    </w:rPr>
  </w:style>
  <w:style w:type="character" w:styleId="lev">
    <w:name w:val="Strong"/>
    <w:basedOn w:val="Policepardfaut"/>
    <w:uiPriority w:val="22"/>
    <w:qFormat/>
    <w:rsid w:val="002255E1"/>
    <w:rPr>
      <w:b/>
      <w:bCs/>
    </w:rPr>
  </w:style>
  <w:style w:type="character" w:styleId="Lienhypertexte">
    <w:name w:val="Hyperlink"/>
    <w:basedOn w:val="Policepardfaut"/>
    <w:uiPriority w:val="99"/>
    <w:unhideWhenUsed/>
    <w:rsid w:val="003E5D8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etac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advisory</dc:creator>
  <cp:keywords/>
  <dc:description/>
  <cp:lastModifiedBy>advisory</cp:lastModifiedBy>
  <cp:revision>28</cp:revision>
  <cp:lastPrinted>2023-02-16T14:35:00Z</cp:lastPrinted>
  <dcterms:created xsi:type="dcterms:W3CDTF">2023-02-13T17:33:00Z</dcterms:created>
  <dcterms:modified xsi:type="dcterms:W3CDTF">2023-02-17T09:56:00Z</dcterms:modified>
</cp:coreProperties>
</file>