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E2" w:rsidRPr="00C31A88" w:rsidRDefault="00C011E2" w:rsidP="00C011E2">
      <w:pPr>
        <w:widowControl w:val="0"/>
        <w:jc w:val="center"/>
        <w:rPr>
          <w:rFonts w:asciiTheme="majorBidi" w:hAnsiTheme="majorBidi" w:cstheme="majorBidi"/>
          <w:b/>
          <w:iCs/>
        </w:rPr>
      </w:pPr>
      <w:r w:rsidRPr="00C31A88">
        <w:rPr>
          <w:rFonts w:asciiTheme="majorBidi" w:hAnsiTheme="majorBidi" w:cstheme="majorBidi"/>
          <w:b/>
          <w:iCs/>
        </w:rPr>
        <w:t>RO</w:t>
      </w:r>
      <w:bookmarkStart w:id="0" w:name="_GoBack"/>
      <w:bookmarkEnd w:id="0"/>
      <w:r w:rsidRPr="00C31A88">
        <w:rPr>
          <w:rFonts w:asciiTheme="majorBidi" w:hAnsiTheme="majorBidi" w:cstheme="majorBidi"/>
          <w:b/>
          <w:iCs/>
        </w:rPr>
        <w:t>YAUME DU MAROC</w:t>
      </w:r>
    </w:p>
    <w:p w:rsidR="00C011E2" w:rsidRPr="00C31A88" w:rsidRDefault="00C011E2" w:rsidP="00C011E2">
      <w:pPr>
        <w:widowControl w:val="0"/>
        <w:jc w:val="center"/>
        <w:rPr>
          <w:rFonts w:asciiTheme="majorBidi" w:hAnsiTheme="majorBidi" w:cstheme="majorBidi"/>
          <w:b/>
          <w:iCs/>
        </w:rPr>
      </w:pPr>
      <w:r w:rsidRPr="00C31A88">
        <w:rPr>
          <w:rFonts w:asciiTheme="majorBidi" w:hAnsiTheme="majorBidi" w:cstheme="majorBidi"/>
          <w:b/>
          <w:iCs/>
        </w:rPr>
        <w:t>MINISTERE DE LA SANTE</w:t>
      </w:r>
    </w:p>
    <w:p w:rsidR="00C011E2" w:rsidRPr="00C31A88" w:rsidRDefault="00C011E2" w:rsidP="00C011E2">
      <w:pPr>
        <w:widowControl w:val="0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iCs/>
        </w:rPr>
      </w:pPr>
      <w:r w:rsidRPr="00C31A88">
        <w:rPr>
          <w:rFonts w:asciiTheme="majorBidi" w:hAnsiTheme="majorBidi" w:cstheme="majorBidi"/>
          <w:b/>
          <w:iCs/>
        </w:rPr>
        <w:t xml:space="preserve">DIRECTION DE L’EPIDEMIOLOGIE </w:t>
      </w:r>
    </w:p>
    <w:p w:rsidR="00C011E2" w:rsidRPr="00C31A88" w:rsidRDefault="00C011E2" w:rsidP="00C011E2">
      <w:pPr>
        <w:widowControl w:val="0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iCs/>
        </w:rPr>
      </w:pPr>
      <w:r w:rsidRPr="00C31A88">
        <w:rPr>
          <w:rFonts w:asciiTheme="majorBidi" w:hAnsiTheme="majorBidi" w:cstheme="majorBidi"/>
          <w:b/>
          <w:iCs/>
        </w:rPr>
        <w:t>ET DE LUTTE CONTRE LES MALADIES</w:t>
      </w:r>
    </w:p>
    <w:p w:rsidR="00C011E2" w:rsidRPr="00C31A88" w:rsidRDefault="00C011E2" w:rsidP="00C011E2">
      <w:pPr>
        <w:widowControl w:val="0"/>
        <w:spacing w:after="120"/>
        <w:ind w:right="-36"/>
        <w:jc w:val="center"/>
        <w:outlineLvl w:val="0"/>
        <w:rPr>
          <w:rFonts w:asciiTheme="majorBidi" w:hAnsiTheme="majorBidi" w:cstheme="majorBidi"/>
          <w:b/>
          <w:color w:val="000000"/>
          <w:u w:val="single"/>
        </w:rPr>
      </w:pPr>
      <w:bookmarkStart w:id="1" w:name="_Toc216080685"/>
      <w:bookmarkStart w:id="2" w:name="_Toc216088734"/>
      <w:r w:rsidRPr="00C31A88">
        <w:rPr>
          <w:rFonts w:asciiTheme="majorBidi" w:hAnsiTheme="majorBidi" w:cstheme="majorBidi"/>
          <w:b/>
          <w:color w:val="000000"/>
          <w:u w:val="single"/>
        </w:rPr>
        <w:t>AVIS D’APPEL D’OFFRES</w:t>
      </w:r>
      <w:bookmarkEnd w:id="1"/>
      <w:bookmarkEnd w:id="2"/>
      <w:r w:rsidRPr="00C31A88">
        <w:rPr>
          <w:rFonts w:asciiTheme="majorBidi" w:hAnsiTheme="majorBidi" w:cstheme="majorBidi"/>
          <w:b/>
          <w:color w:val="000000"/>
          <w:u w:val="single"/>
        </w:rPr>
        <w:t xml:space="preserve"> </w:t>
      </w:r>
    </w:p>
    <w:p w:rsidR="00C011E2" w:rsidRPr="00C31A88" w:rsidRDefault="00C011E2" w:rsidP="00C011E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ajorBidi" w:hAnsiTheme="majorBidi" w:cstheme="majorBidi"/>
          <w:b/>
        </w:rPr>
      </w:pPr>
      <w:r w:rsidRPr="00C31A88">
        <w:rPr>
          <w:rFonts w:asciiTheme="majorBidi" w:hAnsiTheme="majorBidi" w:cstheme="majorBidi"/>
          <w:b/>
        </w:rPr>
        <w:t xml:space="preserve">N° : </w:t>
      </w:r>
      <w:r>
        <w:rPr>
          <w:rFonts w:asciiTheme="majorBidi" w:hAnsiTheme="majorBidi" w:cstheme="majorBidi"/>
          <w:b/>
        </w:rPr>
        <w:t>01/2023/</w:t>
      </w:r>
      <w:r w:rsidRPr="00C31A88">
        <w:rPr>
          <w:rFonts w:asciiTheme="majorBidi" w:hAnsiTheme="majorBidi" w:cstheme="majorBidi"/>
          <w:b/>
        </w:rPr>
        <w:t>FM</w:t>
      </w:r>
    </w:p>
    <w:p w:rsidR="00C011E2" w:rsidRPr="00C31A88" w:rsidRDefault="00C011E2" w:rsidP="00C011E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ajorBidi" w:hAnsiTheme="majorBidi" w:cstheme="majorBidi"/>
          <w:bCs/>
          <w:color w:val="000000"/>
        </w:rPr>
      </w:pPr>
      <w:r w:rsidRPr="00C31A88">
        <w:rPr>
          <w:rFonts w:asciiTheme="majorBidi" w:hAnsiTheme="majorBidi" w:cstheme="majorBidi"/>
          <w:b/>
          <w:color w:val="000000"/>
        </w:rPr>
        <w:t xml:space="preserve">Le </w:t>
      </w:r>
      <w:r>
        <w:rPr>
          <w:rFonts w:asciiTheme="majorBidi" w:hAnsiTheme="majorBidi" w:cstheme="majorBidi"/>
          <w:b/>
          <w:color w:val="000000"/>
        </w:rPr>
        <w:t>15/03/2023</w:t>
      </w:r>
      <w:r w:rsidRPr="00C31A88">
        <w:rPr>
          <w:rFonts w:asciiTheme="majorBidi" w:hAnsiTheme="majorBidi" w:cstheme="majorBidi"/>
          <w:b/>
        </w:rPr>
        <w:t xml:space="preserve"> </w:t>
      </w:r>
      <w:r w:rsidRPr="00C31A88">
        <w:rPr>
          <w:rFonts w:asciiTheme="majorBidi" w:hAnsiTheme="majorBidi" w:cstheme="majorBidi"/>
          <w:b/>
          <w:color w:val="000000"/>
        </w:rPr>
        <w:t>à 10 heures</w:t>
      </w:r>
      <w:r w:rsidRPr="00C31A88">
        <w:rPr>
          <w:rFonts w:asciiTheme="majorBidi" w:hAnsiTheme="majorBidi" w:cstheme="majorBidi"/>
          <w:bCs/>
          <w:color w:val="000000"/>
        </w:rPr>
        <w:t xml:space="preserve">, il sera procédé, au siège de la Direction de l’Epidémiologie </w:t>
      </w:r>
      <w:r>
        <w:rPr>
          <w:rFonts w:asciiTheme="majorBidi" w:hAnsiTheme="majorBidi" w:cstheme="majorBidi"/>
          <w:bCs/>
          <w:color w:val="000000"/>
        </w:rPr>
        <w:t xml:space="preserve">et de lutte contre </w:t>
      </w:r>
      <w:proofErr w:type="gramStart"/>
      <w:r>
        <w:rPr>
          <w:rFonts w:asciiTheme="majorBidi" w:hAnsiTheme="majorBidi" w:cstheme="majorBidi"/>
          <w:bCs/>
          <w:color w:val="000000"/>
        </w:rPr>
        <w:t xml:space="preserve">les maladies </w:t>
      </w:r>
      <w:r w:rsidRPr="00C31A88">
        <w:rPr>
          <w:rFonts w:asciiTheme="majorBidi" w:hAnsiTheme="majorBidi" w:cstheme="majorBidi"/>
          <w:bCs/>
          <w:color w:val="000000"/>
        </w:rPr>
        <w:t>sise</w:t>
      </w:r>
      <w:proofErr w:type="gramEnd"/>
      <w:r w:rsidRPr="00C31A88">
        <w:rPr>
          <w:rFonts w:asciiTheme="majorBidi" w:hAnsiTheme="majorBidi" w:cstheme="majorBidi"/>
          <w:bCs/>
          <w:color w:val="000000"/>
        </w:rPr>
        <w:t xml:space="preserve"> : 71 Avenue Ibn </w:t>
      </w:r>
      <w:proofErr w:type="spellStart"/>
      <w:r w:rsidRPr="00C31A88">
        <w:rPr>
          <w:rFonts w:asciiTheme="majorBidi" w:hAnsiTheme="majorBidi" w:cstheme="majorBidi"/>
          <w:bCs/>
          <w:color w:val="000000"/>
        </w:rPr>
        <w:t>Sina</w:t>
      </w:r>
      <w:proofErr w:type="spellEnd"/>
      <w:r w:rsidRPr="00C31A88">
        <w:rPr>
          <w:rFonts w:asciiTheme="majorBidi" w:hAnsiTheme="majorBidi" w:cstheme="majorBidi"/>
          <w:bCs/>
          <w:color w:val="000000"/>
        </w:rPr>
        <w:t xml:space="preserve"> – </w:t>
      </w:r>
      <w:proofErr w:type="spellStart"/>
      <w:r w:rsidRPr="00C31A88">
        <w:rPr>
          <w:rFonts w:asciiTheme="majorBidi" w:hAnsiTheme="majorBidi" w:cstheme="majorBidi"/>
          <w:bCs/>
          <w:color w:val="000000"/>
        </w:rPr>
        <w:t>Agdal</w:t>
      </w:r>
      <w:proofErr w:type="spellEnd"/>
      <w:r w:rsidRPr="00C31A88">
        <w:rPr>
          <w:rFonts w:asciiTheme="majorBidi" w:hAnsiTheme="majorBidi" w:cstheme="majorBidi"/>
          <w:bCs/>
          <w:color w:val="000000"/>
        </w:rPr>
        <w:t xml:space="preserve"> – Rabat, à l’ouverture des plis relatifs à l’appel d’offres ouvert sur offres de prix pour :</w:t>
      </w:r>
    </w:p>
    <w:p w:rsidR="00C011E2" w:rsidRPr="00C31A88" w:rsidRDefault="00C011E2" w:rsidP="00C011E2">
      <w:pPr>
        <w:widowControl w:val="0"/>
        <w:spacing w:after="120"/>
        <w:ind w:right="57"/>
        <w:jc w:val="center"/>
        <w:rPr>
          <w:rFonts w:asciiTheme="majorBidi" w:hAnsiTheme="majorBidi" w:cstheme="majorBidi"/>
          <w:b/>
          <w:color w:val="000000"/>
          <w:spacing w:val="-3"/>
        </w:rPr>
      </w:pPr>
      <w:r w:rsidRPr="0074624C">
        <w:rPr>
          <w:rFonts w:asciiTheme="majorBidi" w:hAnsiTheme="majorBidi" w:cstheme="majorBidi"/>
          <w:b/>
          <w:spacing w:val="-3"/>
          <w:sz w:val="28"/>
          <w:szCs w:val="28"/>
        </w:rPr>
        <w:t>Conception et production de supports audiovisuels relatifs à la prévention et au contrôle de la tuberculose</w:t>
      </w:r>
      <w:r w:rsidRPr="00C31A88">
        <w:rPr>
          <w:rFonts w:asciiTheme="majorBidi" w:hAnsiTheme="majorBidi" w:cstheme="majorBidi"/>
          <w:b/>
          <w:spacing w:val="-3"/>
          <w:sz w:val="28"/>
          <w:szCs w:val="28"/>
        </w:rPr>
        <w:t xml:space="preserve"> (Lot unique)</w:t>
      </w:r>
    </w:p>
    <w:p w:rsidR="00C011E2" w:rsidRPr="0074624C" w:rsidRDefault="00C011E2" w:rsidP="00C011E2">
      <w:pPr>
        <w:widowControl w:val="0"/>
        <w:spacing w:after="120"/>
        <w:ind w:right="57"/>
        <w:rPr>
          <w:rFonts w:asciiTheme="majorBidi" w:hAnsiTheme="majorBidi" w:cstheme="majorBidi"/>
          <w:u w:val="single"/>
        </w:rPr>
      </w:pPr>
      <w:r w:rsidRPr="0074624C">
        <w:rPr>
          <w:rFonts w:asciiTheme="majorBidi" w:hAnsiTheme="majorBidi" w:cstheme="majorBidi"/>
          <w:color w:val="000000"/>
        </w:rPr>
        <w:t xml:space="preserve">Le présent appel d’offres est constitué d’un lot unique </w:t>
      </w:r>
      <w:r w:rsidRPr="0074624C">
        <w:rPr>
          <w:rFonts w:asciiTheme="majorBidi" w:hAnsiTheme="majorBidi" w:cstheme="majorBidi"/>
        </w:rPr>
        <w:t>:</w:t>
      </w:r>
    </w:p>
    <w:tbl>
      <w:tblPr>
        <w:tblW w:w="8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6445"/>
      </w:tblGrid>
      <w:tr w:rsidR="00C011E2" w:rsidRPr="00C31A88" w:rsidTr="00070171">
        <w:trPr>
          <w:trHeight w:val="2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N° Lot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N° Art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DESIGNATION</w:t>
            </w:r>
          </w:p>
        </w:tc>
      </w:tr>
      <w:tr w:rsidR="00C011E2" w:rsidRPr="00C31A88" w:rsidTr="00070171">
        <w:trPr>
          <w:trHeight w:val="25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31A88">
              <w:rPr>
                <w:rFonts w:asciiTheme="majorBidi" w:hAnsiTheme="majorBidi" w:cstheme="majorBidi"/>
                <w:b/>
                <w:bCs/>
                <w:color w:val="000000"/>
              </w:rPr>
              <w:t>Lot unique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E2" w:rsidRPr="00C31A88" w:rsidRDefault="00C011E2" w:rsidP="00070171">
            <w:pPr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eastAsia="MS Mincho" w:hAnsiTheme="majorBidi" w:cstheme="majorBidi"/>
                <w:color w:val="000000"/>
              </w:rPr>
              <w:t xml:space="preserve">L’élaboration d’un concept créatif </w:t>
            </w:r>
            <w:r>
              <w:rPr>
                <w:rFonts w:asciiTheme="majorBidi" w:eastAsia="MS Mincho" w:hAnsiTheme="majorBidi" w:cstheme="majorBidi"/>
                <w:color w:val="000000"/>
              </w:rPr>
              <w:t>en arabe dialectal</w:t>
            </w:r>
          </w:p>
        </w:tc>
      </w:tr>
      <w:tr w:rsidR="00C011E2" w:rsidRPr="00C31A88" w:rsidTr="00070171">
        <w:trPr>
          <w:trHeight w:val="25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E2" w:rsidRPr="00C31A88" w:rsidRDefault="00C011E2" w:rsidP="00070171">
            <w:pPr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eastAsia="MS Mincho" w:hAnsiTheme="majorBidi" w:cstheme="majorBidi"/>
                <w:color w:val="000000"/>
              </w:rPr>
              <w:t>Réalisation d’un spot radio</w:t>
            </w:r>
          </w:p>
        </w:tc>
      </w:tr>
      <w:tr w:rsidR="00C011E2" w:rsidRPr="00C31A88" w:rsidTr="00070171">
        <w:trPr>
          <w:trHeight w:val="25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E2" w:rsidRPr="00C31A88" w:rsidRDefault="00C011E2" w:rsidP="00070171">
            <w:pPr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eastAsia="MS Mincho" w:hAnsiTheme="majorBidi" w:cstheme="majorBidi"/>
                <w:color w:val="000000"/>
              </w:rPr>
              <w:t>Réalisation d’un spot TV </w:t>
            </w:r>
          </w:p>
        </w:tc>
      </w:tr>
      <w:tr w:rsidR="00C011E2" w:rsidRPr="00C31A88" w:rsidTr="00070171">
        <w:trPr>
          <w:trHeight w:val="25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1E2" w:rsidRPr="00C31A88" w:rsidRDefault="00C011E2" w:rsidP="00070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E2" w:rsidRPr="00C31A88" w:rsidRDefault="00C011E2" w:rsidP="00070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E2" w:rsidRPr="00C31A88" w:rsidRDefault="00C011E2" w:rsidP="00070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eastAsia="MS Mincho" w:hAnsiTheme="majorBidi" w:cstheme="majorBidi"/>
                <w:color w:val="000000"/>
              </w:rPr>
              <w:t>Suivi de la pige Radio et TV</w:t>
            </w:r>
          </w:p>
        </w:tc>
      </w:tr>
    </w:tbl>
    <w:p w:rsidR="00C011E2" w:rsidRPr="00C31A88" w:rsidRDefault="00C011E2" w:rsidP="00C011E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ajorBidi" w:hAnsiTheme="majorBidi" w:cstheme="majorBidi"/>
          <w:b/>
          <w:bCs/>
          <w:color w:val="0000FF"/>
          <w:u w:val="single"/>
        </w:rPr>
      </w:pPr>
      <w:r w:rsidRPr="00C31A88">
        <w:rPr>
          <w:rFonts w:asciiTheme="majorBidi" w:hAnsiTheme="majorBidi" w:cstheme="majorBidi"/>
          <w:bCs/>
          <w:color w:val="000000"/>
        </w:rPr>
        <w:t xml:space="preserve">Le dossier d’appel d’offres peut être retiré au Service administratif de la Direction de l’Epidémiologie et de lutte contre les Maladies. Sis 71, Avenue Ibn </w:t>
      </w:r>
      <w:proofErr w:type="spellStart"/>
      <w:r w:rsidRPr="00C31A88">
        <w:rPr>
          <w:rFonts w:asciiTheme="majorBidi" w:hAnsiTheme="majorBidi" w:cstheme="majorBidi"/>
          <w:bCs/>
          <w:color w:val="000000"/>
        </w:rPr>
        <w:t>Sina</w:t>
      </w:r>
      <w:proofErr w:type="spellEnd"/>
      <w:r w:rsidRPr="00C31A88">
        <w:rPr>
          <w:rFonts w:asciiTheme="majorBidi" w:hAnsiTheme="majorBidi" w:cstheme="majorBidi"/>
          <w:bCs/>
          <w:color w:val="000000"/>
        </w:rPr>
        <w:t xml:space="preserve">, </w:t>
      </w:r>
      <w:proofErr w:type="spellStart"/>
      <w:r w:rsidRPr="00C31A88">
        <w:rPr>
          <w:rFonts w:asciiTheme="majorBidi" w:hAnsiTheme="majorBidi" w:cstheme="majorBidi"/>
          <w:bCs/>
          <w:color w:val="000000"/>
        </w:rPr>
        <w:t>Agdal</w:t>
      </w:r>
      <w:proofErr w:type="spellEnd"/>
      <w:r w:rsidRPr="00C31A88">
        <w:rPr>
          <w:rFonts w:asciiTheme="majorBidi" w:hAnsiTheme="majorBidi" w:cstheme="majorBidi"/>
          <w:bCs/>
          <w:color w:val="000000"/>
        </w:rPr>
        <w:t xml:space="preserve">-RABAT.  Il peut également être téléchargé à partir </w:t>
      </w:r>
      <w:r w:rsidRPr="009D1B44">
        <w:rPr>
          <w:rFonts w:asciiTheme="majorBidi" w:hAnsiTheme="majorBidi" w:cstheme="majorBidi"/>
          <w:bCs/>
          <w:color w:val="000000"/>
        </w:rPr>
        <w:t xml:space="preserve">du </w:t>
      </w:r>
      <w:r>
        <w:rPr>
          <w:rFonts w:asciiTheme="majorBidi" w:hAnsiTheme="majorBidi" w:cstheme="majorBidi"/>
          <w:bCs/>
          <w:color w:val="000000"/>
        </w:rPr>
        <w:t xml:space="preserve">site </w:t>
      </w:r>
      <w:proofErr w:type="spellStart"/>
      <w:r>
        <w:rPr>
          <w:rFonts w:asciiTheme="majorBidi" w:hAnsiTheme="majorBidi" w:cstheme="majorBidi"/>
          <w:bCs/>
          <w:color w:val="000000"/>
        </w:rPr>
        <w:t>Tanmia</w:t>
      </w:r>
      <w:proofErr w:type="spellEnd"/>
      <w:r>
        <w:rPr>
          <w:rFonts w:asciiTheme="majorBidi" w:hAnsiTheme="majorBidi" w:cstheme="majorBidi"/>
          <w:bCs/>
          <w:color w:val="000000"/>
        </w:rPr>
        <w:t xml:space="preserve"> (</w:t>
      </w:r>
      <w:hyperlink r:id="rId5" w:history="1">
        <w:r w:rsidRPr="00B131CB">
          <w:rPr>
            <w:rStyle w:val="Lienhypertexte"/>
            <w:rFonts w:asciiTheme="majorBidi" w:hAnsiTheme="majorBidi" w:cstheme="majorBidi"/>
            <w:bCs/>
          </w:rPr>
          <w:t>https://tanmia.ma/appels-doffres/</w:t>
        </w:r>
      </w:hyperlink>
      <w:r>
        <w:rPr>
          <w:rFonts w:asciiTheme="majorBidi" w:hAnsiTheme="majorBidi" w:cstheme="majorBidi"/>
          <w:bCs/>
          <w:color w:val="000000"/>
        </w:rPr>
        <w:t xml:space="preserve">) </w:t>
      </w:r>
    </w:p>
    <w:p w:rsidR="00C011E2" w:rsidRPr="00C31A88" w:rsidRDefault="00C011E2" w:rsidP="00C011E2">
      <w:pPr>
        <w:widowControl w:val="0"/>
        <w:ind w:right="57"/>
        <w:rPr>
          <w:rFonts w:asciiTheme="majorBidi" w:hAnsiTheme="majorBidi" w:cstheme="majorBidi"/>
          <w:bCs/>
        </w:rPr>
      </w:pPr>
      <w:r w:rsidRPr="00C31A88">
        <w:rPr>
          <w:rFonts w:asciiTheme="majorBidi" w:hAnsiTheme="majorBidi" w:cstheme="majorBidi"/>
          <w:bCs/>
        </w:rPr>
        <w:t xml:space="preserve">L’estimation des coûts </w:t>
      </w:r>
      <w:proofErr w:type="gramStart"/>
      <w:r w:rsidRPr="00C31A88">
        <w:rPr>
          <w:rFonts w:asciiTheme="majorBidi" w:hAnsiTheme="majorBidi" w:cstheme="majorBidi"/>
          <w:bCs/>
        </w:rPr>
        <w:t>des prestations établie</w:t>
      </w:r>
      <w:proofErr w:type="gramEnd"/>
      <w:r w:rsidRPr="00C31A88">
        <w:rPr>
          <w:rFonts w:asciiTheme="majorBidi" w:hAnsiTheme="majorBidi" w:cstheme="majorBidi"/>
          <w:bCs/>
        </w:rPr>
        <w:t xml:space="preserve"> par le maitre d’ouvrage est fixée comme suit :</w:t>
      </w:r>
    </w:p>
    <w:p w:rsidR="00C011E2" w:rsidRPr="00C31A88" w:rsidRDefault="00C011E2" w:rsidP="00C011E2">
      <w:pPr>
        <w:widowControl w:val="0"/>
        <w:ind w:right="57"/>
        <w:rPr>
          <w:rFonts w:asciiTheme="majorBidi" w:hAnsiTheme="majorBidi" w:cstheme="majorBidi"/>
          <w:bCs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013"/>
        <w:gridCol w:w="7119"/>
      </w:tblGrid>
      <w:tr w:rsidR="00C011E2" w:rsidRPr="00C31A88" w:rsidTr="00070171">
        <w:trPr>
          <w:trHeight w:val="4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LOT N°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Montant total estimatif   HT/HDD</w:t>
            </w:r>
          </w:p>
        </w:tc>
      </w:tr>
      <w:tr w:rsidR="00C011E2" w:rsidRPr="00C31A88" w:rsidTr="00070171">
        <w:trPr>
          <w:trHeight w:val="51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1E2" w:rsidRPr="00C31A88" w:rsidRDefault="00C011E2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Lot unique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1E2" w:rsidRPr="00C31A88" w:rsidRDefault="00C011E2" w:rsidP="00070171">
            <w:pPr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eastAsia="MS Mincho" w:hAnsiTheme="majorBidi" w:cstheme="majorBidi"/>
                <w:lang w:bidi="ar-MA"/>
              </w:rPr>
              <w:t>500 000,00 DH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1E2" w:rsidRPr="00C31A88" w:rsidRDefault="00C011E2" w:rsidP="00070171">
            <w:pPr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</w:rPr>
              <w:t>Cinq Cent Mille Dirhams</w:t>
            </w:r>
          </w:p>
        </w:tc>
      </w:tr>
    </w:tbl>
    <w:p w:rsidR="00C011E2" w:rsidRPr="00C31A88" w:rsidRDefault="00C011E2" w:rsidP="00C011E2">
      <w:pPr>
        <w:tabs>
          <w:tab w:val="right" w:leader="hyphen" w:pos="9356"/>
        </w:tabs>
        <w:spacing w:after="100" w:afterAutospacing="1"/>
        <w:rPr>
          <w:rFonts w:asciiTheme="majorBidi" w:hAnsiTheme="majorBidi" w:cstheme="majorBidi"/>
          <w:bCs/>
        </w:rPr>
      </w:pPr>
      <w:r w:rsidRPr="00C31A88">
        <w:rPr>
          <w:rFonts w:asciiTheme="majorBidi" w:hAnsiTheme="majorBidi" w:cstheme="majorBidi"/>
          <w:bCs/>
        </w:rPr>
        <w:t xml:space="preserve">Le contenu, la présentation ainsi que le dépôt des dossiers des concurrents doivent être conformes aux dispositions des articles 27, 29 et 31 du décret n° 2-12-349 du 08 </w:t>
      </w:r>
      <w:proofErr w:type="spellStart"/>
      <w:r w:rsidRPr="00C31A88">
        <w:rPr>
          <w:rFonts w:asciiTheme="majorBidi" w:hAnsiTheme="majorBidi" w:cstheme="majorBidi"/>
          <w:bCs/>
        </w:rPr>
        <w:t>Joumada</w:t>
      </w:r>
      <w:proofErr w:type="spellEnd"/>
      <w:r w:rsidRPr="00C31A88">
        <w:rPr>
          <w:rFonts w:asciiTheme="majorBidi" w:hAnsiTheme="majorBidi" w:cstheme="majorBidi"/>
          <w:bCs/>
        </w:rPr>
        <w:t xml:space="preserve"> I 1434 (20 Mars 2013) relatif aux marchés publics.</w:t>
      </w:r>
    </w:p>
    <w:p w:rsidR="00C011E2" w:rsidRPr="00C31A88" w:rsidRDefault="00C011E2" w:rsidP="00C011E2">
      <w:pPr>
        <w:tabs>
          <w:tab w:val="right" w:leader="hyphen" w:pos="9356"/>
        </w:tabs>
        <w:rPr>
          <w:rFonts w:asciiTheme="majorBidi" w:hAnsiTheme="majorBidi" w:cstheme="majorBidi"/>
          <w:bCs/>
        </w:rPr>
      </w:pPr>
      <w:r w:rsidRPr="00C31A88">
        <w:rPr>
          <w:rFonts w:asciiTheme="majorBidi" w:hAnsiTheme="majorBidi" w:cstheme="majorBidi"/>
          <w:bCs/>
        </w:rPr>
        <w:t>Les concurrents peuvent :</w:t>
      </w:r>
    </w:p>
    <w:p w:rsidR="00C011E2" w:rsidRPr="00C31A88" w:rsidRDefault="00C011E2" w:rsidP="00C011E2">
      <w:pPr>
        <w:numPr>
          <w:ilvl w:val="0"/>
          <w:numId w:val="1"/>
        </w:numPr>
        <w:tabs>
          <w:tab w:val="right" w:leader="dot" w:pos="9498"/>
        </w:tabs>
        <w:overflowPunct w:val="0"/>
        <w:autoSpaceDE w:val="0"/>
        <w:autoSpaceDN w:val="0"/>
        <w:adjustRightInd w:val="0"/>
        <w:spacing w:before="0" w:after="100" w:afterAutospacing="1"/>
        <w:textAlignment w:val="baseline"/>
        <w:rPr>
          <w:rFonts w:asciiTheme="majorBidi" w:hAnsiTheme="majorBidi" w:cstheme="majorBidi"/>
          <w:bCs/>
          <w:color w:val="000000"/>
        </w:rPr>
      </w:pPr>
      <w:r w:rsidRPr="00C31A88">
        <w:rPr>
          <w:rFonts w:asciiTheme="majorBidi" w:hAnsiTheme="majorBidi" w:cstheme="majorBidi"/>
          <w:bCs/>
          <w:color w:val="000000"/>
        </w:rPr>
        <w:t xml:space="preserve">Soit déposer contre récépissé leurs plis dans les bureaux du Service administratif de la Direction de l’Epidémiologie et de lutte contre les Maladies. Sis 71, Avenue Ibn </w:t>
      </w:r>
      <w:proofErr w:type="spellStart"/>
      <w:r w:rsidRPr="00C31A88">
        <w:rPr>
          <w:rFonts w:asciiTheme="majorBidi" w:hAnsiTheme="majorBidi" w:cstheme="majorBidi"/>
          <w:bCs/>
          <w:color w:val="000000"/>
        </w:rPr>
        <w:t>Sina</w:t>
      </w:r>
      <w:proofErr w:type="spellEnd"/>
      <w:r w:rsidRPr="00C31A88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C31A88">
        <w:rPr>
          <w:rFonts w:asciiTheme="majorBidi" w:hAnsiTheme="majorBidi" w:cstheme="majorBidi"/>
          <w:bCs/>
          <w:color w:val="000000"/>
        </w:rPr>
        <w:t>Agdal</w:t>
      </w:r>
      <w:proofErr w:type="spellEnd"/>
      <w:r w:rsidRPr="00C31A88">
        <w:rPr>
          <w:rFonts w:asciiTheme="majorBidi" w:hAnsiTheme="majorBidi" w:cstheme="majorBidi"/>
          <w:bCs/>
          <w:color w:val="000000"/>
        </w:rPr>
        <w:t>-RABAT;</w:t>
      </w:r>
    </w:p>
    <w:p w:rsidR="00C011E2" w:rsidRPr="00C31A88" w:rsidRDefault="00C011E2" w:rsidP="00C011E2">
      <w:pPr>
        <w:numPr>
          <w:ilvl w:val="0"/>
          <w:numId w:val="1"/>
        </w:numPr>
        <w:tabs>
          <w:tab w:val="right" w:leader="dot" w:pos="9498"/>
        </w:tabs>
        <w:overflowPunct w:val="0"/>
        <w:autoSpaceDE w:val="0"/>
        <w:autoSpaceDN w:val="0"/>
        <w:adjustRightInd w:val="0"/>
        <w:spacing w:before="0" w:after="100" w:afterAutospacing="1"/>
        <w:textAlignment w:val="baseline"/>
        <w:rPr>
          <w:rFonts w:asciiTheme="majorBidi" w:hAnsiTheme="majorBidi" w:cstheme="majorBidi"/>
          <w:bCs/>
          <w:color w:val="000000"/>
        </w:rPr>
      </w:pPr>
      <w:r w:rsidRPr="00C31A88">
        <w:rPr>
          <w:rFonts w:asciiTheme="majorBidi" w:hAnsiTheme="majorBidi" w:cstheme="majorBidi"/>
          <w:bCs/>
          <w:color w:val="000000"/>
        </w:rPr>
        <w:t>Soit les envoyer par courrier recommandé avec accusé de réception au bureau précité ;</w:t>
      </w:r>
    </w:p>
    <w:p w:rsidR="00C011E2" w:rsidRPr="00C31A88" w:rsidRDefault="00C011E2" w:rsidP="00C011E2">
      <w:pPr>
        <w:numPr>
          <w:ilvl w:val="0"/>
          <w:numId w:val="1"/>
        </w:numPr>
        <w:tabs>
          <w:tab w:val="right" w:leader="hyphen" w:pos="9356"/>
        </w:tabs>
        <w:overflowPunct w:val="0"/>
        <w:autoSpaceDE w:val="0"/>
        <w:autoSpaceDN w:val="0"/>
        <w:adjustRightInd w:val="0"/>
        <w:spacing w:before="0" w:after="100" w:afterAutospacing="1"/>
        <w:textAlignment w:val="baseline"/>
        <w:rPr>
          <w:rFonts w:asciiTheme="majorBidi" w:hAnsiTheme="majorBidi" w:cstheme="majorBidi"/>
          <w:bCs/>
          <w:color w:val="000000"/>
        </w:rPr>
      </w:pPr>
      <w:r w:rsidRPr="00C31A88">
        <w:rPr>
          <w:rFonts w:asciiTheme="majorBidi" w:hAnsiTheme="majorBidi" w:cstheme="majorBidi"/>
          <w:bCs/>
          <w:color w:val="000000"/>
        </w:rPr>
        <w:t>Soit les remettre au président de la commission d’appel d’offres au début de la séance et avant l’ouverture des plis.</w:t>
      </w:r>
    </w:p>
    <w:p w:rsidR="00C011E2" w:rsidRPr="00C31A88" w:rsidRDefault="00C011E2" w:rsidP="00C011E2">
      <w:pPr>
        <w:tabs>
          <w:tab w:val="right" w:leader="hyphen" w:pos="9356"/>
        </w:tabs>
        <w:overflowPunct w:val="0"/>
        <w:autoSpaceDE w:val="0"/>
        <w:autoSpaceDN w:val="0"/>
        <w:adjustRightInd w:val="0"/>
        <w:spacing w:after="100" w:afterAutospacing="1"/>
        <w:textAlignment w:val="baseline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/>
          <w:color w:val="000000"/>
        </w:rPr>
        <w:t>La documentation technique</w:t>
      </w:r>
      <w:r w:rsidRPr="00C31A88">
        <w:rPr>
          <w:rFonts w:asciiTheme="majorBidi" w:hAnsiTheme="majorBidi" w:cstheme="majorBidi"/>
          <w:b/>
          <w:color w:val="000000"/>
        </w:rPr>
        <w:t xml:space="preserve"> </w:t>
      </w:r>
      <w:r w:rsidRPr="00C31A88">
        <w:rPr>
          <w:rFonts w:asciiTheme="majorBidi" w:hAnsiTheme="majorBidi" w:cstheme="majorBidi"/>
          <w:bCs/>
          <w:color w:val="000000"/>
        </w:rPr>
        <w:t xml:space="preserve">exigée par le dossier d’appel d’offres doit être déposée dans les bureaux du Service administratif de la Direction de l’Epidémiologie et de lutte contre les Maladies. Sis 71, Avenue Ibn </w:t>
      </w:r>
      <w:proofErr w:type="spellStart"/>
      <w:r w:rsidRPr="00C31A88">
        <w:rPr>
          <w:rFonts w:asciiTheme="majorBidi" w:hAnsiTheme="majorBidi" w:cstheme="majorBidi"/>
          <w:bCs/>
          <w:color w:val="000000"/>
        </w:rPr>
        <w:t>Sina</w:t>
      </w:r>
      <w:proofErr w:type="spellEnd"/>
      <w:r w:rsidRPr="00C31A88">
        <w:rPr>
          <w:rFonts w:asciiTheme="majorBidi" w:hAnsiTheme="majorBidi" w:cstheme="majorBidi"/>
          <w:bCs/>
          <w:color w:val="000000"/>
        </w:rPr>
        <w:t xml:space="preserve">, </w:t>
      </w:r>
      <w:proofErr w:type="spellStart"/>
      <w:r w:rsidRPr="00C31A88">
        <w:rPr>
          <w:rFonts w:asciiTheme="majorBidi" w:hAnsiTheme="majorBidi" w:cstheme="majorBidi"/>
          <w:bCs/>
          <w:color w:val="000000"/>
        </w:rPr>
        <w:t>Agdal</w:t>
      </w:r>
      <w:proofErr w:type="spellEnd"/>
      <w:r w:rsidRPr="00C31A88">
        <w:rPr>
          <w:rFonts w:asciiTheme="majorBidi" w:hAnsiTheme="majorBidi" w:cstheme="majorBidi"/>
          <w:bCs/>
          <w:color w:val="000000"/>
        </w:rPr>
        <w:t xml:space="preserve">-RABAT ; </w:t>
      </w:r>
      <w:r w:rsidRPr="00B93C56">
        <w:rPr>
          <w:rFonts w:asciiTheme="majorBidi" w:hAnsiTheme="majorBidi" w:cstheme="majorBidi"/>
          <w:b/>
          <w:color w:val="000000"/>
          <w:u w:val="single"/>
        </w:rPr>
        <w:t>avant le 14/03/2023</w:t>
      </w:r>
      <w:r w:rsidRPr="00B93C56">
        <w:rPr>
          <w:rFonts w:asciiTheme="majorBidi" w:hAnsiTheme="majorBidi" w:cstheme="majorBidi"/>
          <w:b/>
          <w:iCs/>
          <w:u w:val="single"/>
        </w:rPr>
        <w:t xml:space="preserve"> </w:t>
      </w:r>
      <w:r w:rsidRPr="00B93C56">
        <w:rPr>
          <w:rFonts w:asciiTheme="majorBidi" w:hAnsiTheme="majorBidi" w:cstheme="majorBidi"/>
          <w:b/>
          <w:color w:val="000000"/>
          <w:u w:val="single"/>
        </w:rPr>
        <w:t>à 14 h00.</w:t>
      </w:r>
    </w:p>
    <w:p w:rsidR="00F0752B" w:rsidRDefault="00C011E2" w:rsidP="00C011E2">
      <w:pPr>
        <w:tabs>
          <w:tab w:val="right" w:leader="hyphen" w:pos="9356"/>
        </w:tabs>
        <w:spacing w:after="100" w:afterAutospacing="1"/>
      </w:pPr>
      <w:r w:rsidRPr="00C31A88">
        <w:rPr>
          <w:rFonts w:asciiTheme="majorBidi" w:hAnsiTheme="majorBidi" w:cstheme="majorBidi"/>
          <w:bCs/>
          <w:color w:val="000000"/>
        </w:rPr>
        <w:t xml:space="preserve">Les pièces justificatives à fournir sont celles prévues par l’article </w:t>
      </w:r>
      <w:r w:rsidRPr="00C31A88">
        <w:rPr>
          <w:rFonts w:asciiTheme="majorBidi" w:hAnsiTheme="majorBidi" w:cstheme="majorBidi"/>
          <w:b/>
          <w:color w:val="000000"/>
        </w:rPr>
        <w:t>8</w:t>
      </w:r>
      <w:r w:rsidRPr="00C31A88">
        <w:rPr>
          <w:rFonts w:asciiTheme="majorBidi" w:hAnsiTheme="majorBidi" w:cstheme="majorBidi"/>
          <w:bCs/>
          <w:color w:val="000000"/>
        </w:rPr>
        <w:t xml:space="preserve"> du règlement de consultation.</w:t>
      </w:r>
    </w:p>
    <w:sectPr w:rsidR="00F0752B" w:rsidSect="00C011E2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6A5F"/>
    <w:multiLevelType w:val="singleLevel"/>
    <w:tmpl w:val="3C98042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E2"/>
    <w:rsid w:val="00C011E2"/>
    <w:rsid w:val="00F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B86"/>
  <w15:chartTrackingRefBased/>
  <w15:docId w15:val="{1D6B7043-A548-425A-88B3-790EE68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E2"/>
    <w:pPr>
      <w:spacing w:before="120" w:after="0" w:line="240" w:lineRule="auto"/>
      <w:jc w:val="both"/>
    </w:pPr>
    <w:rPr>
      <w:rFonts w:ascii="Eras Medium ITC" w:eastAsia="Times New Roman" w:hAnsi="Eras Medium ITC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011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nmia.ma/appels-doff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UGFM</dc:creator>
  <cp:keywords/>
  <dc:description/>
  <cp:lastModifiedBy>Sabah UGFM</cp:lastModifiedBy>
  <cp:revision>1</cp:revision>
  <dcterms:created xsi:type="dcterms:W3CDTF">2023-02-17T11:53:00Z</dcterms:created>
  <dcterms:modified xsi:type="dcterms:W3CDTF">2023-02-17T11:54:00Z</dcterms:modified>
</cp:coreProperties>
</file>