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Contexte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GiveDirectly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(GD) a pour but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révolutionner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dons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internationaux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- et des millions de vies –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fournissant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subventions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espèces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directement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aux plus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pauvres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du monde.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L’Institution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Brookings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estime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que 70 milliards de dollars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transferts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espèces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seraient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nécessaires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éradiquer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pauvreté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;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secteur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l'aide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humanitaire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dépense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actuellement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135 milliards de dollars par an,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dont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grande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partie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des interventions non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factuelles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.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GiveDirectly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veut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changer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cela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faisant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transferts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espèces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modèle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référence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l'aide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étrangère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-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fonds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indiciel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modèle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référence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secteur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financier -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accélérant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ainsi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fin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l'extrême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pauvreté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Depuis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son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lancement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2011, GD a </w:t>
      </w:r>
      <w:proofErr w:type="spellStart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collecté</w:t>
      </w:r>
      <w:proofErr w:type="spellEnd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plus de 7</w:t>
      </w: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00 </w:t>
      </w:r>
      <w:proofErr w:type="spellStart"/>
      <w:proofErr w:type="gram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millions</w:t>
      </w:r>
      <w:proofErr w:type="spellEnd"/>
      <w:proofErr w:type="gram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dollars,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</w:t>
      </w:r>
      <w:r w:rsidR="00C979C9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istribué</w:t>
      </w:r>
      <w:proofErr w:type="spellEnd"/>
      <w:r w:rsidR="00C979C9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="00C979C9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fonds</w:t>
      </w:r>
      <w:proofErr w:type="spellEnd"/>
      <w:r w:rsidR="00C979C9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plus d’ </w:t>
      </w:r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1,000,</w:t>
      </w: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000 </w:t>
      </w:r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famille</w:t>
      </w:r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</w:t>
      </w:r>
      <w:proofErr w:type="spellEnd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a </w:t>
      </w:r>
      <w:proofErr w:type="spellStart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ouvert</w:t>
      </w:r>
      <w:proofErr w:type="spellEnd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bureaux </w:t>
      </w:r>
      <w:proofErr w:type="spellStart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8</w:t>
      </w: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pays. 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avons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également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appuyé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recherches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expérimentales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grande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échelle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qui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indiquent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un fort impact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programmes sur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bénéficiaires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.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conséquence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GD 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reconnue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organisations à but non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lucratif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plus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innovantes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par la</w:t>
      </w:r>
      <w:hyperlink r:id="rId5" w:history="1">
        <w:r w:rsidRPr="0017036A">
          <w:rPr>
            <w:rFonts w:ascii="Helvetica" w:eastAsia="Times New Roman" w:hAnsi="Helvetica" w:cs="Times New Roman"/>
            <w:color w:val="2F8CDD"/>
            <w:sz w:val="21"/>
            <w:szCs w:val="21"/>
            <w:u w:val="single"/>
            <w:lang w:eastAsia="en-GB"/>
          </w:rPr>
          <w:t xml:space="preserve"> Fast Company</w:t>
        </w:r>
      </w:hyperlink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tandis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que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mouvement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croissant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transfert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d'argent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rôle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prépondérant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GD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celui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-ci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ont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présentés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revues</w:t>
      </w:r>
      <w:hyperlink r:id="rId6" w:history="1">
        <w:r w:rsidRPr="0017036A">
          <w:rPr>
            <w:rFonts w:ascii="Helvetica" w:eastAsia="Times New Roman" w:hAnsi="Helvetica" w:cs="Times New Roman"/>
            <w:color w:val="2F8CDD"/>
            <w:sz w:val="21"/>
            <w:szCs w:val="21"/>
            <w:u w:val="single"/>
            <w:lang w:eastAsia="en-GB"/>
          </w:rPr>
          <w:t xml:space="preserve"> New York Times Magazine</w:t>
        </w:r>
      </w:hyperlink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,</w:t>
      </w:r>
      <w:hyperlink r:id="rId7" w:history="1">
        <w:r w:rsidRPr="0017036A">
          <w:rPr>
            <w:rFonts w:ascii="Helvetica" w:eastAsia="Times New Roman" w:hAnsi="Helvetica" w:cs="Times New Roman"/>
            <w:color w:val="2F8CDD"/>
            <w:sz w:val="21"/>
            <w:szCs w:val="21"/>
            <w:u w:val="single"/>
            <w:lang w:eastAsia="en-GB"/>
          </w:rPr>
          <w:t xml:space="preserve"> This American Life</w:t>
        </w:r>
      </w:hyperlink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,</w:t>
      </w:r>
      <w:hyperlink r:id="rId8" w:history="1">
        <w:r w:rsidRPr="0017036A">
          <w:rPr>
            <w:rFonts w:ascii="Helvetica" w:eastAsia="Times New Roman" w:hAnsi="Helvetica" w:cs="Times New Roman"/>
            <w:color w:val="2F8CDD"/>
            <w:sz w:val="21"/>
            <w:szCs w:val="21"/>
            <w:u w:val="single"/>
            <w:lang w:eastAsia="en-GB"/>
          </w:rPr>
          <w:t xml:space="preserve"> Foreign Affairs</w:t>
        </w:r>
      </w:hyperlink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, et</w:t>
      </w:r>
      <w:hyperlink r:id="rId9" w:history="1">
        <w:r w:rsidRPr="0017036A">
          <w:rPr>
            <w:rFonts w:ascii="Helvetica" w:eastAsia="Times New Roman" w:hAnsi="Helvetica" w:cs="Times New Roman"/>
            <w:color w:val="2F8CDD"/>
            <w:sz w:val="21"/>
            <w:szCs w:val="21"/>
            <w:u w:val="single"/>
            <w:lang w:eastAsia="en-GB"/>
          </w:rPr>
          <w:t xml:space="preserve"> The Economist</w:t>
        </w:r>
      </w:hyperlink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sommes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recherche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talents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exceptionnels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agrandir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notre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terrain. Notre culture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directe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analytique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non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hiérarchique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rapide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. 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recrutons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candidats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meilleures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organisations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secteurs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d'activité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–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notre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reçu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éloges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cabinets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conseil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banques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d'investissement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jeunes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entreprises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d'organisations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but non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lucratif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des administrations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publiques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n'en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citer que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quelques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-uns. 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valorisons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capacité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désir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d'apprendre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sur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années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d'expérience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. 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offrons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salaires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avantages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compétitifs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ainsi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que des primes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fonction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performances.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Apercu du poste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Gestion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de programme</w:t>
      </w:r>
    </w:p>
    <w:p w:rsidR="0017036A" w:rsidRPr="0017036A" w:rsidRDefault="0017036A" w:rsidP="0017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Rédigez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plans de travail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projets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partagez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avec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membres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l'équipe</w:t>
      </w:r>
      <w:proofErr w:type="spellEnd"/>
    </w:p>
    <w:p w:rsidR="0017036A" w:rsidRPr="0017036A" w:rsidRDefault="0017036A" w:rsidP="0017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Identifier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risques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spécifiques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au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projet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consultation avec la direction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appropriée</w:t>
      </w:r>
      <w:proofErr w:type="spellEnd"/>
    </w:p>
    <w:p w:rsidR="0017036A" w:rsidRPr="0017036A" w:rsidRDefault="0017036A" w:rsidP="0017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Générer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superviser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mise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œuvre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listes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la livraison du plan de travail</w:t>
      </w:r>
    </w:p>
    <w:p w:rsidR="0017036A" w:rsidRPr="0017036A" w:rsidRDefault="0017036A" w:rsidP="0017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Effectuer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contrôles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qualité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intervalles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réguliers</w:t>
      </w:r>
      <w:proofErr w:type="spellEnd"/>
    </w:p>
    <w:p w:rsidR="0017036A" w:rsidRPr="0017036A" w:rsidRDefault="0017036A" w:rsidP="0017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Rédiger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rapports qui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reflètent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performance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par rapport aux buts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objectifs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fixés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Atténuation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risques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et le respect des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normes</w:t>
      </w:r>
      <w:proofErr w:type="spellEnd"/>
    </w:p>
    <w:p w:rsidR="0017036A" w:rsidRPr="0017036A" w:rsidRDefault="0017036A" w:rsidP="00170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Évaluer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causes sous-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jacentes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risques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liés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aux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opérations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GiveDirectly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Diriger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résolution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événements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haut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risque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manière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transparente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responsable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et,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cas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échéant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, collaborative.</w:t>
      </w:r>
    </w:p>
    <w:p w:rsidR="0017036A" w:rsidRPr="0017036A" w:rsidRDefault="0017036A" w:rsidP="00170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Effectuer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vérifications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ponctuelles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données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du programme pour identifier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risques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préparer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rapports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d'incident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Restez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vigilant,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évitez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complaisance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restez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inébranlable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efforts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visant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maintenir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programmes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conformité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solides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basés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sur la culture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GiveDiectly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laquelle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intérêts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destinataires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placés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premier</w:t>
      </w:r>
    </w:p>
    <w:p w:rsidR="0017036A" w:rsidRDefault="0017036A" w:rsidP="00170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Maintenir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un engagement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actif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visible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cohérent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envers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normes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conduite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attendues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aspects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l'organisation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stipulé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déclaration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du code de </w:t>
      </w:r>
      <w: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conduit</w:t>
      </w:r>
    </w:p>
    <w:p w:rsidR="0017036A" w:rsidRDefault="0017036A" w:rsidP="0017036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</w:p>
    <w:p w:rsidR="0017036A" w:rsidRPr="0017036A" w:rsidRDefault="0017036A" w:rsidP="0017036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lastRenderedPageBreak/>
        <w:t>Gestion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du personnel</w:t>
      </w:r>
    </w:p>
    <w:p w:rsidR="0017036A" w:rsidRPr="0017036A" w:rsidRDefault="0017036A" w:rsidP="00170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Promouvoir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culture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efficace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encourageant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reconnaissance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réalisations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positives,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planifiant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périodiquement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événements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d'autres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initiatives de consolidation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d'équipe</w:t>
      </w:r>
      <w:proofErr w:type="spellEnd"/>
    </w:p>
    <w:p w:rsidR="0017036A" w:rsidRPr="0017036A" w:rsidRDefault="0017036A" w:rsidP="00170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Etre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un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modèle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comportement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éthique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qui encourage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signaler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fautes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au sein du personnel de GD,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partenaires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de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communauté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bénéficiaires</w:t>
      </w:r>
      <w:proofErr w:type="spellEnd"/>
    </w:p>
    <w:p w:rsidR="0017036A" w:rsidRPr="0017036A" w:rsidRDefault="0017036A" w:rsidP="00170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Développer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encadrer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équipe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avec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grande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capacité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résolution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problèmes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pensée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critique et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solides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compétences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analytiques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de communication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Rôles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administratifs</w:t>
      </w:r>
      <w:proofErr w:type="spellEnd"/>
    </w:p>
    <w:p w:rsidR="0017036A" w:rsidRPr="0017036A" w:rsidRDefault="0017036A" w:rsidP="00170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S'assurer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demandes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d'allocation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les allocations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dépensées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soumises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correctement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rapidement</w:t>
      </w:r>
      <w:proofErr w:type="spellEnd"/>
    </w:p>
    <w:p w:rsidR="0017036A" w:rsidRPr="0017036A" w:rsidRDefault="0017036A" w:rsidP="00170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S'assurer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que les fiches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pointages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soumises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avec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précision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temps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opportun</w:t>
      </w:r>
      <w:proofErr w:type="spellEnd"/>
    </w:p>
    <w:p w:rsidR="0017036A" w:rsidRPr="0017036A" w:rsidRDefault="0017036A" w:rsidP="00170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Assurer la liaison avec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directeur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financier sur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gestion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la petite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caisse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autres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obligations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financières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l'équipe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 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Compétences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requises</w:t>
      </w:r>
      <w:proofErr w:type="spellEnd"/>
    </w:p>
    <w:p w:rsidR="0017036A" w:rsidRPr="0017036A" w:rsidRDefault="0017036A" w:rsidP="00170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maîtrise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du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Francais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Darija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Anglais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essentielle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 </w:t>
      </w:r>
    </w:p>
    <w:p w:rsidR="0017036A" w:rsidRPr="0017036A" w:rsidRDefault="0017036A" w:rsidP="00170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Avoir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solides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compétences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interpersonnelles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de leadership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d'organisation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-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travailler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avec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dirigeants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membres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communauté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principaux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partenaires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publics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privés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Maîtrise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l’outil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informatique</w:t>
      </w:r>
      <w:proofErr w:type="spellEnd"/>
    </w:p>
    <w:p w:rsidR="0017036A" w:rsidRPr="0017036A" w:rsidRDefault="0017036A" w:rsidP="00170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Capacité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d’apprendre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rapidement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-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doit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apprendre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complexités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notre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programme et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communiquer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aux parties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prenantes</w:t>
      </w:r>
      <w:proofErr w:type="spellEnd"/>
    </w:p>
    <w:p w:rsidR="0017036A" w:rsidRPr="0017036A" w:rsidRDefault="0017036A" w:rsidP="00170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Avoir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un grand respect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valeurs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GD (ci-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dessous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)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 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Valeurs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GiveDirectly</w:t>
      </w:r>
      <w:proofErr w:type="spellEnd"/>
    </w:p>
    <w:p w:rsidR="0017036A" w:rsidRPr="0017036A" w:rsidRDefault="0017036A" w:rsidP="00170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Priorité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aux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bénéficiaires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 </w:t>
      </w: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privilégions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préférences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bénéficiaires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pas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celles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donateurs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ni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même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nôtres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L’équipe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avant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l’individuel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 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œuvrons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succès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l’organisation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pas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celui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individus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Être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proactivement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franc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 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parlons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communiquons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informations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toute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franchise.</w:t>
      </w:r>
    </w:p>
    <w:p w:rsidR="0017036A" w:rsidRPr="0017036A" w:rsidRDefault="0017036A" w:rsidP="001703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Créer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énergie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positive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 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efforçons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d’apporter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l’énergie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positive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collègues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et pas de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leur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prendre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Réfléchir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Rigoureusement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agir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rapidement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lastRenderedPageBreak/>
        <w:t> 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Priorité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la rigueur et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l’action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gram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pas</w:t>
      </w:r>
      <w:proofErr w:type="gram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au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débat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interminable.</w:t>
      </w:r>
    </w:p>
    <w:p w:rsidR="0017036A" w:rsidRPr="0017036A" w:rsidRDefault="0017036A" w:rsidP="00170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Se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connaître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et se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développer</w:t>
      </w:r>
      <w:proofErr w:type="spellEnd"/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 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sommes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conscients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défauts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mais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nous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exploitons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Accepter la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réalité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, Proposer des solutions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 Nous ne 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attardons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pas sur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problèmes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. 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créons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solutions.</w:t>
      </w:r>
    </w:p>
    <w:p w:rsidR="0017036A" w:rsidRPr="0017036A" w:rsidRDefault="0017036A" w:rsidP="00170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Être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ambitieux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>manière</w:t>
      </w:r>
      <w:proofErr w:type="spellEnd"/>
      <w:r w:rsidRPr="0017036A">
        <w:rPr>
          <w:rFonts w:ascii="Helvetica" w:eastAsia="Times New Roman" w:hAnsi="Helvetica" w:cs="Times New Roman"/>
          <w:b/>
          <w:bCs/>
          <w:color w:val="383F44"/>
          <w:sz w:val="21"/>
          <w:szCs w:val="21"/>
          <w:lang w:eastAsia="en-GB"/>
        </w:rPr>
        <w:t xml:space="preserve"> productive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 Nous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prenons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risques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qui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pourraient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révolutionner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secteur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 </w:t>
      </w:r>
    </w:p>
    <w:p w:rsidR="0017036A" w:rsidRPr="0017036A" w:rsidRDefault="0017036A" w:rsidP="0017036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** GD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s'engage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à respecter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lois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locales,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nationales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internationales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qui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protègent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enfants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adultes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vulnérables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les droits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humains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fondamentaux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. GD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est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attaché à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une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politique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«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tolérance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zéro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l'exploitation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les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abus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et le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harcèlement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sexuels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(SEAH)» et attend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toute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personne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travaillant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pour GD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qu'elle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respecte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en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priorité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la protection et la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sauvegarde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de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nos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</w:t>
      </w:r>
      <w:proofErr w:type="spellStart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destinataires</w:t>
      </w:r>
      <w:proofErr w:type="spellEnd"/>
      <w:r w:rsidRPr="0017036A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. **</w:t>
      </w:r>
    </w:p>
    <w:p w:rsidR="000E2E7B" w:rsidRDefault="000E2E7B"/>
    <w:p w:rsidR="00013722" w:rsidRPr="00CA0A30" w:rsidRDefault="00013722">
      <w:pPr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</w:pPr>
      <w:bookmarkStart w:id="0" w:name="_GoBack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Pour </w:t>
      </w:r>
      <w:proofErr w:type="spellStart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postuler</w:t>
      </w:r>
      <w:proofErr w:type="spellEnd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, </w:t>
      </w:r>
      <w:proofErr w:type="spellStart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veuillez</w:t>
      </w:r>
      <w:proofErr w:type="spellEnd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utiliser </w:t>
      </w:r>
      <w:proofErr w:type="spellStart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>ce</w:t>
      </w:r>
      <w:proofErr w:type="spellEnd"/>
      <w:r w:rsidRPr="00CA0A30">
        <w:rPr>
          <w:rFonts w:ascii="Helvetica" w:eastAsia="Times New Roman" w:hAnsi="Helvetica" w:cs="Times New Roman"/>
          <w:color w:val="383F44"/>
          <w:sz w:val="21"/>
          <w:szCs w:val="21"/>
          <w:lang w:eastAsia="en-GB"/>
        </w:rPr>
        <w:t xml:space="preserve"> lien: https://givedirectly.hire.trakstar.com/jobs/fk0ulfi?source=</w:t>
      </w:r>
      <w:bookmarkEnd w:id="0"/>
    </w:p>
    <w:sectPr w:rsidR="00013722" w:rsidRPr="00CA0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283"/>
    <w:multiLevelType w:val="multilevel"/>
    <w:tmpl w:val="C23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A1A3C"/>
    <w:multiLevelType w:val="multilevel"/>
    <w:tmpl w:val="4B5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63F4"/>
    <w:multiLevelType w:val="multilevel"/>
    <w:tmpl w:val="9F3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C15F5"/>
    <w:multiLevelType w:val="multilevel"/>
    <w:tmpl w:val="2E6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5714D"/>
    <w:multiLevelType w:val="multilevel"/>
    <w:tmpl w:val="D81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21640"/>
    <w:multiLevelType w:val="multilevel"/>
    <w:tmpl w:val="A6C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27FE7"/>
    <w:multiLevelType w:val="multilevel"/>
    <w:tmpl w:val="2830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14FA1"/>
    <w:multiLevelType w:val="multilevel"/>
    <w:tmpl w:val="490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2917"/>
    <w:multiLevelType w:val="multilevel"/>
    <w:tmpl w:val="2020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83788"/>
    <w:multiLevelType w:val="multilevel"/>
    <w:tmpl w:val="1DC2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C5E71"/>
    <w:multiLevelType w:val="multilevel"/>
    <w:tmpl w:val="DDB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96CFC"/>
    <w:multiLevelType w:val="multilevel"/>
    <w:tmpl w:val="7C26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839ED"/>
    <w:multiLevelType w:val="multilevel"/>
    <w:tmpl w:val="CDD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A"/>
    <w:rsid w:val="00013722"/>
    <w:rsid w:val="000E2E7B"/>
    <w:rsid w:val="0017036A"/>
    <w:rsid w:val="00802D30"/>
    <w:rsid w:val="00C979C9"/>
    <w:rsid w:val="00C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3F2A"/>
  <w15:chartTrackingRefBased/>
  <w15:docId w15:val="{D833F4E5-FBE6-4FBD-BF01-4123FC8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03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ignaffairs.com/articles/141214/christopher-blattman-and-paul-niehaus/show-them-the-mo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samericanlife.org/radio-archives/episode/503/i-was-just-trying-to-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3/10/magazine/the-2-26-17-issue.html?_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stcompany.com/most-innovative-companies/2017/sectors/not-for-prof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ist.com/news/international/21588385-giving-money-directly-poor-people-works-surprisingly-well-it-cannot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</dc:creator>
  <cp:keywords/>
  <dc:description/>
  <cp:lastModifiedBy>Raissa</cp:lastModifiedBy>
  <cp:revision>3</cp:revision>
  <dcterms:created xsi:type="dcterms:W3CDTF">2022-02-21T15:16:00Z</dcterms:created>
  <dcterms:modified xsi:type="dcterms:W3CDTF">2022-02-21T15:25:00Z</dcterms:modified>
</cp:coreProperties>
</file>