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C0C1" w14:textId="77777777" w:rsidR="00A86BE5" w:rsidRPr="009B6ADD" w:rsidRDefault="00A86BE5" w:rsidP="00A86BE5">
      <w:pPr>
        <w:jc w:val="center"/>
        <w:rPr>
          <w:rFonts w:eastAsia="Times New Roman" w:cs="Times New Roman"/>
          <w:b/>
          <w:lang w:val="fr-FR"/>
        </w:rPr>
      </w:pPr>
      <w:r w:rsidRPr="009B6ADD">
        <w:rPr>
          <w:rFonts w:eastAsia="Times New Roman" w:cs="Times New Roman"/>
          <w:b/>
          <w:lang w:val="fr-FR"/>
        </w:rPr>
        <w:t>Termes de Référence</w:t>
      </w:r>
    </w:p>
    <w:p w14:paraId="07E29A7D" w14:textId="77777777" w:rsidR="00A86BE5" w:rsidRPr="009B6ADD" w:rsidRDefault="00A86BE5" w:rsidP="00A86BE5">
      <w:pPr>
        <w:autoSpaceDE w:val="0"/>
        <w:autoSpaceDN w:val="0"/>
        <w:adjustRightInd w:val="0"/>
        <w:jc w:val="center"/>
        <w:rPr>
          <w:rFonts w:cs="Times New Roman"/>
          <w:b/>
          <w:lang w:val="fr-FR"/>
        </w:rPr>
      </w:pPr>
    </w:p>
    <w:p w14:paraId="1B4D4FE1" w14:textId="0C32E095" w:rsidR="00A86BE5" w:rsidRPr="009B6ADD" w:rsidRDefault="00723A7D" w:rsidP="00A86BE5">
      <w:pPr>
        <w:autoSpaceDE w:val="0"/>
        <w:autoSpaceDN w:val="0"/>
        <w:adjustRightInd w:val="0"/>
        <w:jc w:val="center"/>
        <w:rPr>
          <w:rFonts w:cs="Times New Roman"/>
          <w:b/>
          <w:lang w:val="fr-FR"/>
        </w:rPr>
      </w:pPr>
      <w:r>
        <w:rPr>
          <w:rFonts w:cs="Times New Roman"/>
          <w:b/>
          <w:lang w:val="fr-FR"/>
        </w:rPr>
        <w:t xml:space="preserve">UNICEF Maroc </w:t>
      </w:r>
      <w:r w:rsidR="007A219C">
        <w:rPr>
          <w:rFonts w:cs="Times New Roman"/>
          <w:b/>
          <w:lang w:val="fr-FR"/>
        </w:rPr>
        <w:t>lance un a</w:t>
      </w:r>
      <w:r w:rsidR="00A86BE5" w:rsidRPr="009B6ADD">
        <w:rPr>
          <w:rFonts w:cs="Times New Roman"/>
          <w:b/>
          <w:lang w:val="fr-FR"/>
        </w:rPr>
        <w:t>ppel à consultation</w:t>
      </w:r>
    </w:p>
    <w:p w14:paraId="53B7C0DB" w14:textId="3D501888" w:rsidR="003A6391" w:rsidRPr="009B6ADD" w:rsidRDefault="007A219C" w:rsidP="003A6391">
      <w:pPr>
        <w:autoSpaceDE w:val="0"/>
        <w:autoSpaceDN w:val="0"/>
        <w:adjustRightInd w:val="0"/>
        <w:jc w:val="center"/>
        <w:rPr>
          <w:rFonts w:cs="Times New Roman"/>
          <w:b/>
          <w:lang w:val="fr-FR"/>
        </w:rPr>
      </w:pPr>
      <w:r>
        <w:rPr>
          <w:rFonts w:cs="Times New Roman"/>
          <w:b/>
          <w:lang w:val="fr-FR"/>
        </w:rPr>
        <w:t xml:space="preserve">Pour la </w:t>
      </w:r>
      <w:r w:rsidR="003A6391" w:rsidRPr="009B6ADD">
        <w:rPr>
          <w:rFonts w:cs="Times New Roman"/>
          <w:b/>
          <w:lang w:val="fr-FR"/>
        </w:rPr>
        <w:t xml:space="preserve">Révision des outils nécessaires à l’administration des sessions dédiées au renforcement des compétences des professionnels de santé et des personnes relais communautaires pour la sensibilisation contre le Covid-19 </w:t>
      </w:r>
    </w:p>
    <w:p w14:paraId="702B3A30" w14:textId="77777777" w:rsidR="00A86BE5" w:rsidRPr="003A157A" w:rsidRDefault="00A86BE5" w:rsidP="00A86BE5">
      <w:pPr>
        <w:autoSpaceDE w:val="0"/>
        <w:autoSpaceDN w:val="0"/>
        <w:adjustRightInd w:val="0"/>
        <w:jc w:val="both"/>
        <w:rPr>
          <w:rFonts w:cs="Calibri"/>
          <w:b/>
          <w:bCs/>
          <w:lang w:val="fr-FR"/>
        </w:rPr>
      </w:pPr>
    </w:p>
    <w:p w14:paraId="17E6157E" w14:textId="27919CAC" w:rsidR="00492FD1" w:rsidRPr="005C55D6" w:rsidRDefault="004A20B3" w:rsidP="005C55D6">
      <w:pPr>
        <w:pStyle w:val="Heading1"/>
      </w:pPr>
      <w:bookmarkStart w:id="0" w:name="_Toc510629113"/>
      <w:r w:rsidRPr="005C55D6">
        <w:t>Contexte</w:t>
      </w:r>
      <w:r w:rsidR="004C6823" w:rsidRPr="005C55D6">
        <w:t xml:space="preserve"> général</w:t>
      </w:r>
      <w:bookmarkEnd w:id="0"/>
    </w:p>
    <w:p w14:paraId="269101C1" w14:textId="77777777" w:rsidR="00F8100A" w:rsidRPr="00F8100A" w:rsidRDefault="00F8100A" w:rsidP="00F8100A">
      <w:pPr>
        <w:autoSpaceDE w:val="0"/>
        <w:autoSpaceDN w:val="0"/>
        <w:adjustRightInd w:val="0"/>
        <w:jc w:val="both"/>
        <w:rPr>
          <w:rFonts w:cstheme="minorHAnsi"/>
          <w:lang w:val="fr-FR"/>
        </w:rPr>
      </w:pPr>
      <w:r w:rsidRPr="00F8100A">
        <w:rPr>
          <w:rFonts w:cstheme="minorHAnsi"/>
          <w:lang w:val="fr-FR"/>
        </w:rPr>
        <w:t xml:space="preserve">Dans le cadre de la mise en œuvre de la stratégie nationale des interventions en santé communautaire, dont la vision est de permettre à toutes les citoyennes et citoyens de bénéficier d’un accès universel à des services de santé promotionnels, préventifs, curatifs et de réadaptation de qualité avec leur pleine participation en vue de contribuer à l’amélioration de la santé et de la qualité de vie des populations, et en application des dispositions de la circulaire ministérielle N° 30 DP/2020 du 15 Avril 2020 relative à la nécessité du maintien des activités des programmes de santé, dans cette même perspective et durant la pandémie la Direction de la Population avec l’appui de l’UNICEF lance une activité qui vise à contribuer à la lutte contre l’épidémie par le COVID 19 et à la continuité des programmes de santé par le renforcement de l’engagement communautaire et à la continuité des programmes de santé prioritaires. </w:t>
      </w:r>
    </w:p>
    <w:p w14:paraId="001A20A8" w14:textId="23FD129F" w:rsidR="003A157A" w:rsidRPr="00F8100A" w:rsidRDefault="00F8100A" w:rsidP="00F8100A">
      <w:pPr>
        <w:autoSpaceDE w:val="0"/>
        <w:autoSpaceDN w:val="0"/>
        <w:adjustRightInd w:val="0"/>
        <w:jc w:val="both"/>
        <w:rPr>
          <w:rFonts w:cstheme="minorHAnsi"/>
          <w:lang w:val="fr-FR"/>
        </w:rPr>
      </w:pPr>
      <w:r w:rsidRPr="00F8100A">
        <w:rPr>
          <w:rFonts w:cstheme="minorHAnsi"/>
          <w:lang w:val="fr-FR"/>
        </w:rPr>
        <w:t>Cette activité relative à l’élaboration d’un kit de formation pour le renforcement des compétences des professionnels de santé et des personnes relais communautaires pour la sensibilisation contre la COVID 19 a pour objectif de contribuer à la continuité des programmes de santé prioritaires en faveur de la population vulnérable et enclavée ciblant notamment les enfants et les femmes, afin de renforcer les mesures communautaires de prévention et de promotion de la santé y compris durant les situations d’urgence sanitaire.</w:t>
      </w:r>
    </w:p>
    <w:p w14:paraId="1972A0A5" w14:textId="77777777" w:rsidR="00652A2F" w:rsidRPr="00652A2F" w:rsidRDefault="00652A2F" w:rsidP="00652A2F">
      <w:pPr>
        <w:autoSpaceDE w:val="0"/>
        <w:autoSpaceDN w:val="0"/>
        <w:adjustRightInd w:val="0"/>
        <w:jc w:val="both"/>
        <w:rPr>
          <w:rFonts w:cstheme="minorHAnsi"/>
          <w:lang w:val="fr-FR"/>
        </w:rPr>
      </w:pPr>
      <w:r w:rsidRPr="00652A2F">
        <w:rPr>
          <w:rFonts w:cstheme="minorHAnsi"/>
          <w:lang w:val="fr-FR"/>
        </w:rPr>
        <w:t>Pour la réalisation de cette consultation, il est nécessaire d’utiliser comme référentiel à la fois :</w:t>
      </w:r>
    </w:p>
    <w:p w14:paraId="5D898759"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La stratégie nationale sur les interventions en santé communautaire (2019) ;</w:t>
      </w:r>
    </w:p>
    <w:p w14:paraId="001A3E06"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Les publications de l’OMS et de l’UNICEF et des autres agences onusiennes et de la littérature internationale relatives à l’engagement communautaire.</w:t>
      </w:r>
    </w:p>
    <w:p w14:paraId="09CA13BF"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Le kit de formation produit par le Ministère de la Santé sur la participation communautaire ;</w:t>
      </w:r>
    </w:p>
    <w:p w14:paraId="28643645"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La documentation produite par le Ministère de la santé pour la sensibilisation de la population durant la pandémie au SARS-</w:t>
      </w:r>
      <w:proofErr w:type="spellStart"/>
      <w:r w:rsidRPr="00652A2F">
        <w:rPr>
          <w:rFonts w:cstheme="minorHAnsi"/>
          <w:lang w:val="fr-FR"/>
        </w:rPr>
        <w:t>Cov</w:t>
      </w:r>
      <w:proofErr w:type="spellEnd"/>
      <w:r w:rsidRPr="00652A2F">
        <w:rPr>
          <w:rFonts w:cstheme="minorHAnsi"/>
          <w:lang w:val="fr-FR"/>
        </w:rPr>
        <w:t xml:space="preserve"> 2.</w:t>
      </w:r>
    </w:p>
    <w:p w14:paraId="12B54482" w14:textId="4F11DFA1" w:rsidR="00C11F5B" w:rsidRPr="00334349" w:rsidRDefault="00C11F5B" w:rsidP="00E86862">
      <w:pPr>
        <w:autoSpaceDE w:val="0"/>
        <w:autoSpaceDN w:val="0"/>
        <w:adjustRightInd w:val="0"/>
        <w:rPr>
          <w:rFonts w:cstheme="minorHAnsi"/>
          <w:lang w:val="fr-FR"/>
        </w:rPr>
      </w:pPr>
    </w:p>
    <w:p w14:paraId="1DCA6A42" w14:textId="5F9E0E93" w:rsidR="002769D0" w:rsidRPr="005C55D6" w:rsidRDefault="004A20B3" w:rsidP="005C55D6">
      <w:pPr>
        <w:pStyle w:val="Heading1"/>
        <w:rPr>
          <w:snapToGrid/>
        </w:rPr>
      </w:pPr>
      <w:bookmarkStart w:id="1" w:name="_Toc510629114"/>
      <w:r w:rsidRPr="005C55D6">
        <w:rPr>
          <w:snapToGrid/>
        </w:rPr>
        <w:t>Objectif</w:t>
      </w:r>
      <w:r w:rsidR="002769D0" w:rsidRPr="005C55D6">
        <w:rPr>
          <w:snapToGrid/>
        </w:rPr>
        <w:t>s</w:t>
      </w:r>
      <w:bookmarkEnd w:id="1"/>
    </w:p>
    <w:p w14:paraId="305BC7E5" w14:textId="3C50D59B" w:rsidR="004201D1" w:rsidRPr="003A157A" w:rsidRDefault="004201D1" w:rsidP="003A157A">
      <w:pPr>
        <w:pStyle w:val="Heading2"/>
      </w:pPr>
      <w:bookmarkStart w:id="2" w:name="_Toc510629115"/>
      <w:r w:rsidRPr="003A157A">
        <w:t>Objectif global</w:t>
      </w:r>
      <w:bookmarkEnd w:id="2"/>
    </w:p>
    <w:p w14:paraId="406BD685" w14:textId="7E4E31D2" w:rsidR="004C6823" w:rsidRPr="00936B11" w:rsidRDefault="004201D1" w:rsidP="006F3E49">
      <w:pPr>
        <w:jc w:val="both"/>
        <w:rPr>
          <w:rFonts w:cs="Calibri"/>
          <w:lang w:val="fr-FR"/>
        </w:rPr>
      </w:pPr>
      <w:r w:rsidRPr="006F3B0D">
        <w:rPr>
          <w:rFonts w:cs="Calibri"/>
          <w:lang w:val="fr-FR"/>
        </w:rPr>
        <w:t xml:space="preserve">Sous la supervision </w:t>
      </w:r>
      <w:r w:rsidR="009B6ADD">
        <w:rPr>
          <w:rFonts w:cs="Calibri"/>
          <w:lang w:val="fr-FR"/>
        </w:rPr>
        <w:t>de la cheffe d</w:t>
      </w:r>
      <w:r w:rsidRPr="006F3B0D">
        <w:rPr>
          <w:rFonts w:cs="Calibri"/>
          <w:lang w:val="fr-FR"/>
        </w:rPr>
        <w:t xml:space="preserve">e la </w:t>
      </w:r>
      <w:r w:rsidR="00652A2F">
        <w:rPr>
          <w:rFonts w:cs="Calibri"/>
          <w:lang w:val="fr-FR"/>
        </w:rPr>
        <w:t>section</w:t>
      </w:r>
      <w:r w:rsidRPr="006F3B0D">
        <w:rPr>
          <w:rFonts w:cs="Calibri"/>
          <w:lang w:val="fr-FR"/>
        </w:rPr>
        <w:t xml:space="preserve"> </w:t>
      </w:r>
      <w:r>
        <w:rPr>
          <w:rFonts w:cs="Calibri"/>
          <w:lang w:val="fr-FR"/>
        </w:rPr>
        <w:t>santé</w:t>
      </w:r>
      <w:r w:rsidRPr="006F3B0D">
        <w:rPr>
          <w:rFonts w:cs="Calibri"/>
          <w:lang w:val="fr-FR"/>
        </w:rPr>
        <w:t xml:space="preserve"> de l’UNICEF</w:t>
      </w:r>
      <w:r>
        <w:rPr>
          <w:rFonts w:cs="Calibri"/>
          <w:lang w:val="fr-FR"/>
        </w:rPr>
        <w:t xml:space="preserve"> et </w:t>
      </w:r>
      <w:r w:rsidR="009C7083">
        <w:rPr>
          <w:rFonts w:cs="Calibri"/>
          <w:lang w:val="fr-FR"/>
        </w:rPr>
        <w:t xml:space="preserve">en coordination avec </w:t>
      </w:r>
      <w:r>
        <w:rPr>
          <w:rFonts w:cs="Calibri"/>
          <w:lang w:val="fr-FR"/>
        </w:rPr>
        <w:t xml:space="preserve">la Direction de </w:t>
      </w:r>
      <w:r w:rsidR="00652A2F">
        <w:rPr>
          <w:rFonts w:cs="Calibri"/>
          <w:lang w:val="fr-FR"/>
        </w:rPr>
        <w:t>la Population</w:t>
      </w:r>
      <w:r w:rsidR="00223AF3">
        <w:rPr>
          <w:rFonts w:cs="Calibri"/>
          <w:lang w:val="fr-FR"/>
        </w:rPr>
        <w:t xml:space="preserve">/ </w:t>
      </w:r>
      <w:r w:rsidR="00223AF3" w:rsidRPr="00223AF3">
        <w:rPr>
          <w:rFonts w:cs="Calibri"/>
          <w:lang w:val="fr-FR"/>
        </w:rPr>
        <w:t>Service de Coordination et de Collaboration Inter sectorielle</w:t>
      </w:r>
      <w:r w:rsidRPr="006F3B0D">
        <w:rPr>
          <w:rFonts w:cs="Calibri"/>
          <w:lang w:val="fr-FR"/>
        </w:rPr>
        <w:t xml:space="preserve">, </w:t>
      </w:r>
      <w:r w:rsidR="00AF4EBE">
        <w:rPr>
          <w:rFonts w:cs="Calibri"/>
          <w:lang w:val="fr-FR"/>
        </w:rPr>
        <w:t>l</w:t>
      </w:r>
      <w:r w:rsidRPr="00142200">
        <w:rPr>
          <w:rFonts w:cs="Calibri"/>
          <w:lang w:val="fr-FR"/>
        </w:rPr>
        <w:t>e</w:t>
      </w:r>
      <w:r w:rsidR="00AF4EBE">
        <w:rPr>
          <w:rFonts w:cs="Calibri"/>
          <w:lang w:val="fr-FR"/>
        </w:rPr>
        <w:t xml:space="preserve"> </w:t>
      </w:r>
      <w:r w:rsidRPr="00142200">
        <w:rPr>
          <w:rFonts w:cs="Calibri"/>
          <w:lang w:val="fr-FR"/>
        </w:rPr>
        <w:t xml:space="preserve">/La consultant(e) </w:t>
      </w:r>
      <w:r w:rsidRPr="00936B11">
        <w:rPr>
          <w:rFonts w:cs="Calibri"/>
          <w:lang w:val="fr-FR"/>
        </w:rPr>
        <w:t xml:space="preserve"> </w:t>
      </w:r>
      <w:r w:rsidRPr="006F3B0D">
        <w:rPr>
          <w:rFonts w:cs="Calibri"/>
          <w:lang w:val="fr-FR"/>
        </w:rPr>
        <w:t xml:space="preserve">aura pour mission </w:t>
      </w:r>
      <w:r w:rsidR="00C14EB2" w:rsidRPr="00936B11">
        <w:rPr>
          <w:rFonts w:cs="Calibri"/>
          <w:lang w:val="fr-FR"/>
        </w:rPr>
        <w:t>la</w:t>
      </w:r>
      <w:r w:rsidR="00E10DAE" w:rsidRPr="00936B11">
        <w:rPr>
          <w:rFonts w:cs="Calibri"/>
          <w:lang w:val="fr-FR"/>
        </w:rPr>
        <w:t xml:space="preserve"> </w:t>
      </w:r>
      <w:r w:rsidR="00300D1D" w:rsidRPr="00936B11">
        <w:rPr>
          <w:rFonts w:cs="Calibri"/>
          <w:lang w:val="fr-FR"/>
        </w:rPr>
        <w:t>r</w:t>
      </w:r>
      <w:r w:rsidR="00300D1D" w:rsidRPr="003A6391">
        <w:rPr>
          <w:rFonts w:cs="Calibri"/>
          <w:lang w:val="fr-FR"/>
        </w:rPr>
        <w:t>évision des outils nécessaires à l’administration des sessions dédiées au renforcement des compétences des professionnels de santé et des personnes relais communautaires pour la sensibilisation contre le Covid-19</w:t>
      </w:r>
      <w:r w:rsidR="006F3E49">
        <w:rPr>
          <w:rFonts w:cs="Calibri"/>
          <w:lang w:val="fr-FR"/>
        </w:rPr>
        <w:t xml:space="preserve"> afin de </w:t>
      </w:r>
      <w:r w:rsidR="006F3E49" w:rsidRPr="006F3E49">
        <w:rPr>
          <w:rFonts w:cs="Calibri"/>
          <w:lang w:val="fr-FR"/>
        </w:rPr>
        <w:t xml:space="preserve">renforcer l’engagement </w:t>
      </w:r>
      <w:r w:rsidR="006F3E49" w:rsidRPr="006F3E49">
        <w:rPr>
          <w:rFonts w:cs="Calibri"/>
          <w:lang w:val="fr-FR"/>
        </w:rPr>
        <w:lastRenderedPageBreak/>
        <w:t>communautaire pour la sensibilisation et l’orientation y compris pendant la pandémie COVID 19 et durant les états d’urgence sanitaire.</w:t>
      </w:r>
    </w:p>
    <w:p w14:paraId="46519D49" w14:textId="71196ABB" w:rsidR="003A157A" w:rsidRDefault="003A157A">
      <w:pPr>
        <w:rPr>
          <w:rFonts w:ascii="Cambria" w:hAnsi="Cambria"/>
          <w:lang w:val="fr-FR"/>
        </w:rPr>
      </w:pPr>
    </w:p>
    <w:p w14:paraId="2C0F5400" w14:textId="22D3282A" w:rsidR="000E03A8" w:rsidRPr="003A157A" w:rsidRDefault="00C11F5B" w:rsidP="003A157A">
      <w:pPr>
        <w:pStyle w:val="Heading2"/>
      </w:pPr>
      <w:bookmarkStart w:id="3" w:name="_Toc510629116"/>
      <w:r w:rsidRPr="003A157A">
        <w:t>Objectifs spécifiques</w:t>
      </w:r>
      <w:bookmarkEnd w:id="3"/>
    </w:p>
    <w:p w14:paraId="33B498DC" w14:textId="65C7E736" w:rsidR="00B23ED5" w:rsidRPr="00305B5C" w:rsidRDefault="00E10DAE" w:rsidP="005C55D6">
      <w:pPr>
        <w:jc w:val="both"/>
        <w:rPr>
          <w:rFonts w:cstheme="minorHAnsi"/>
          <w:lang w:val="fr-FR"/>
        </w:rPr>
      </w:pPr>
      <w:r w:rsidRPr="00305B5C">
        <w:rPr>
          <w:rFonts w:cstheme="minorHAnsi"/>
          <w:lang w:val="fr-FR"/>
        </w:rPr>
        <w:t>L</w:t>
      </w:r>
      <w:r w:rsidR="00C11F5B" w:rsidRPr="00305B5C">
        <w:rPr>
          <w:rFonts w:cstheme="minorHAnsi"/>
          <w:lang w:val="fr-FR"/>
        </w:rPr>
        <w:t>es objectifs spécifiques sont :</w:t>
      </w:r>
    </w:p>
    <w:p w14:paraId="778E8206" w14:textId="6A958247" w:rsidR="00385604" w:rsidRPr="0060320E" w:rsidRDefault="00385604" w:rsidP="0060320E">
      <w:pPr>
        <w:pStyle w:val="ListParagraph"/>
        <w:numPr>
          <w:ilvl w:val="0"/>
          <w:numId w:val="32"/>
        </w:numPr>
        <w:jc w:val="both"/>
        <w:rPr>
          <w:rFonts w:cstheme="minorHAnsi"/>
          <w:lang w:val="fr-FR"/>
        </w:rPr>
      </w:pPr>
      <w:r w:rsidRPr="0060320E">
        <w:rPr>
          <w:rFonts w:cstheme="minorHAnsi"/>
          <w:lang w:val="fr-FR"/>
        </w:rPr>
        <w:t xml:space="preserve">Renforcer les compétences des professionnels de santé et des acteurs communautaires en matière d’engagement communautaire y compris durant les états d’urgence sanitaire. </w:t>
      </w:r>
    </w:p>
    <w:p w14:paraId="311F29E6" w14:textId="77777777" w:rsidR="00385604" w:rsidRPr="0060320E" w:rsidRDefault="00385604" w:rsidP="0060320E">
      <w:pPr>
        <w:pStyle w:val="ListParagraph"/>
        <w:numPr>
          <w:ilvl w:val="0"/>
          <w:numId w:val="32"/>
        </w:numPr>
        <w:jc w:val="both"/>
        <w:rPr>
          <w:rFonts w:cstheme="minorHAnsi"/>
          <w:lang w:val="fr-FR"/>
        </w:rPr>
      </w:pPr>
      <w:r w:rsidRPr="0060320E">
        <w:rPr>
          <w:rFonts w:cstheme="minorHAnsi"/>
          <w:lang w:val="fr-FR"/>
        </w:rPr>
        <w:t xml:space="preserve">Capaciter les acteurs communautaires dans leurs activités de sensibilisation, d’orientation et de relance pour la continuité des programmes de santé y compris durant les états d’urgence sanitaire. </w:t>
      </w:r>
    </w:p>
    <w:p w14:paraId="37C18FE5" w14:textId="13973100" w:rsidR="00E10DAE" w:rsidRPr="00E10DAE" w:rsidRDefault="00E10DAE" w:rsidP="00385604">
      <w:pPr>
        <w:ind w:left="810"/>
        <w:jc w:val="both"/>
        <w:rPr>
          <w:rFonts w:ascii="Cambria" w:hAnsi="Cambria"/>
          <w:lang w:val="fr-FR"/>
        </w:rPr>
      </w:pPr>
    </w:p>
    <w:p w14:paraId="1A42B375" w14:textId="0614CA09" w:rsidR="00B23ED5" w:rsidRDefault="00C311C0" w:rsidP="005C55D6">
      <w:pPr>
        <w:pStyle w:val="Heading1"/>
        <w:rPr>
          <w:snapToGrid/>
        </w:rPr>
      </w:pPr>
      <w:bookmarkStart w:id="4" w:name="_Toc510629117"/>
      <w:r w:rsidRPr="005C55D6">
        <w:rPr>
          <w:snapToGrid/>
        </w:rPr>
        <w:t>Activités</w:t>
      </w:r>
      <w:r w:rsidR="00DB3F72" w:rsidRPr="005C55D6">
        <w:rPr>
          <w:snapToGrid/>
        </w:rPr>
        <w:t>/ méthodologie</w:t>
      </w:r>
      <w:bookmarkEnd w:id="4"/>
      <w:r w:rsidRPr="005C55D6">
        <w:rPr>
          <w:snapToGrid/>
        </w:rPr>
        <w:t xml:space="preserve"> </w:t>
      </w:r>
    </w:p>
    <w:p w14:paraId="08F0B119" w14:textId="3638DD7B" w:rsidR="00B23ED5" w:rsidRDefault="009C7083" w:rsidP="00B23ED5">
      <w:pPr>
        <w:autoSpaceDE w:val="0"/>
        <w:autoSpaceDN w:val="0"/>
        <w:adjustRightInd w:val="0"/>
        <w:rPr>
          <w:rFonts w:cstheme="minorHAnsi"/>
          <w:lang w:val="fr-FR"/>
        </w:rPr>
      </w:pPr>
      <w:r>
        <w:rPr>
          <w:rFonts w:cstheme="minorHAnsi"/>
          <w:lang w:val="fr-FR"/>
        </w:rPr>
        <w:t>L</w:t>
      </w:r>
      <w:r w:rsidR="00DB3F72" w:rsidRPr="00305B5C">
        <w:rPr>
          <w:rFonts w:cstheme="minorHAnsi"/>
          <w:lang w:val="fr-FR"/>
        </w:rPr>
        <w:t>e /La consultant(</w:t>
      </w:r>
      <w:proofErr w:type="gramStart"/>
      <w:r w:rsidR="00DB3F72" w:rsidRPr="00305B5C">
        <w:rPr>
          <w:rFonts w:cstheme="minorHAnsi"/>
          <w:lang w:val="fr-FR"/>
        </w:rPr>
        <w:t xml:space="preserve">e) </w:t>
      </w:r>
      <w:r w:rsidR="00DB3F72" w:rsidRPr="00305B5C">
        <w:rPr>
          <w:rFonts w:cstheme="minorHAnsi"/>
          <w:sz w:val="20"/>
          <w:szCs w:val="20"/>
          <w:lang w:val="fr-FR"/>
        </w:rPr>
        <w:t xml:space="preserve"> </w:t>
      </w:r>
      <w:r w:rsidR="00C311C0" w:rsidRPr="00305B5C">
        <w:rPr>
          <w:rFonts w:cstheme="minorHAnsi"/>
          <w:lang w:val="fr-FR"/>
        </w:rPr>
        <w:t>sera</w:t>
      </w:r>
      <w:proofErr w:type="gramEnd"/>
      <w:r w:rsidR="00C311C0" w:rsidRPr="00305B5C">
        <w:rPr>
          <w:rFonts w:cstheme="minorHAnsi"/>
          <w:lang w:val="fr-FR"/>
        </w:rPr>
        <w:t xml:space="preserve"> responsable de la mise en œuvre des activités suivant</w:t>
      </w:r>
      <w:r w:rsidR="00305B5C">
        <w:rPr>
          <w:rFonts w:cstheme="minorHAnsi"/>
          <w:lang w:val="fr-FR"/>
        </w:rPr>
        <w:t>e</w:t>
      </w:r>
      <w:r w:rsidR="00C311C0" w:rsidRPr="00305B5C">
        <w:rPr>
          <w:rFonts w:cstheme="minorHAnsi"/>
          <w:lang w:val="fr-FR"/>
        </w:rPr>
        <w:t>s</w:t>
      </w:r>
      <w:r w:rsidR="006C1EEB">
        <w:rPr>
          <w:rFonts w:cstheme="minorHAnsi"/>
          <w:lang w:val="fr-FR"/>
        </w:rPr>
        <w:t xml:space="preserve"> </w:t>
      </w:r>
      <w:r w:rsidR="00C311C0" w:rsidRPr="00305B5C">
        <w:rPr>
          <w:rFonts w:cstheme="minorHAnsi"/>
          <w:lang w:val="fr-FR"/>
        </w:rPr>
        <w:t>:</w:t>
      </w:r>
    </w:p>
    <w:p w14:paraId="575F5C86" w14:textId="77777777" w:rsidR="00305B5C" w:rsidRPr="00305B5C" w:rsidRDefault="00305B5C" w:rsidP="00B23ED5">
      <w:pPr>
        <w:autoSpaceDE w:val="0"/>
        <w:autoSpaceDN w:val="0"/>
        <w:adjustRightInd w:val="0"/>
        <w:rPr>
          <w:rFonts w:cstheme="minorHAnsi"/>
          <w:lang w:val="fr-FR"/>
        </w:rPr>
      </w:pPr>
    </w:p>
    <w:p w14:paraId="35FC8FAE" w14:textId="470CF2B1"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Conduire une revue de la littérature sur l’engagement communautaire.</w:t>
      </w:r>
    </w:p>
    <w:p w14:paraId="3520CC7F"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Réviser les kits produits par le Ministère de la Santé au profit des professionnels de santé et des acteurs communautaires et procéder à leur alignement avec les nouvelles directives internationales.</w:t>
      </w:r>
    </w:p>
    <w:p w14:paraId="4651E626" w14:textId="4EC074CB"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Partager les kits révisés pour l’appréciation du comité de suivi.</w:t>
      </w:r>
    </w:p>
    <w:p w14:paraId="4EF71A9E"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Procéder à l’intégration des remarques et proposition du comité de suivi.</w:t>
      </w:r>
    </w:p>
    <w:p w14:paraId="78C4FEEE"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Préparer et animer les réunions nécessaires à l’élaboration et la validation des deux kits.</w:t>
      </w:r>
    </w:p>
    <w:p w14:paraId="53942653" w14:textId="77777777" w:rsidR="00C74865"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Etablir la version finale des deux kits</w:t>
      </w:r>
      <w:r w:rsidR="00C7514D" w:rsidRPr="006C1EEB">
        <w:rPr>
          <w:rFonts w:cstheme="minorHAnsi"/>
          <w:lang w:val="fr-FR"/>
        </w:rPr>
        <w:t xml:space="preserve"> </w:t>
      </w:r>
      <w:r w:rsidR="00C74865" w:rsidRPr="006C1EEB">
        <w:rPr>
          <w:rFonts w:cstheme="minorHAnsi"/>
          <w:lang w:val="fr-FR"/>
        </w:rPr>
        <w:t>révisés</w:t>
      </w:r>
      <w:r w:rsidRPr="006C1EEB">
        <w:rPr>
          <w:rFonts w:cstheme="minorHAnsi"/>
          <w:lang w:val="fr-FR"/>
        </w:rPr>
        <w:t>.</w:t>
      </w:r>
    </w:p>
    <w:p w14:paraId="6040DC35" w14:textId="6C0C6E62" w:rsidR="00F67B43" w:rsidRPr="006C1EEB" w:rsidRDefault="00C311C0"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Préparer et p</w:t>
      </w:r>
      <w:r w:rsidR="00DB3F72" w:rsidRPr="006C1EEB">
        <w:rPr>
          <w:rFonts w:cstheme="minorHAnsi"/>
          <w:lang w:val="fr-FR"/>
        </w:rPr>
        <w:t>artage</w:t>
      </w:r>
      <w:r w:rsidRPr="006C1EEB">
        <w:rPr>
          <w:rFonts w:cstheme="minorHAnsi"/>
          <w:lang w:val="fr-FR"/>
        </w:rPr>
        <w:t xml:space="preserve">r un rapport </w:t>
      </w:r>
      <w:r w:rsidR="006C1EEB" w:rsidRPr="006C1EEB">
        <w:rPr>
          <w:rFonts w:cstheme="minorHAnsi"/>
          <w:lang w:val="fr-FR"/>
        </w:rPr>
        <w:t xml:space="preserve">global </w:t>
      </w:r>
      <w:r w:rsidR="00C74865" w:rsidRPr="006C1EEB">
        <w:rPr>
          <w:rFonts w:cstheme="minorHAnsi"/>
          <w:lang w:val="fr-FR"/>
        </w:rPr>
        <w:t>de la mission</w:t>
      </w:r>
      <w:r w:rsidR="006C1EEB" w:rsidRPr="006C1EEB">
        <w:rPr>
          <w:rFonts w:cstheme="minorHAnsi"/>
          <w:lang w:val="fr-FR"/>
        </w:rPr>
        <w:t>.</w:t>
      </w:r>
    </w:p>
    <w:p w14:paraId="38E8E506" w14:textId="05FD3F2E" w:rsidR="003A157A" w:rsidRDefault="003A157A">
      <w:pPr>
        <w:rPr>
          <w:rFonts w:ascii="Cambria" w:hAnsi="Cambria"/>
          <w:b/>
          <w:lang w:val="fr-FR"/>
        </w:rPr>
      </w:pPr>
    </w:p>
    <w:p w14:paraId="78154DAE" w14:textId="0F86541A" w:rsidR="004C6823" w:rsidRPr="005C55D6" w:rsidRDefault="004C6823" w:rsidP="005C55D6">
      <w:pPr>
        <w:pStyle w:val="Heading1"/>
        <w:rPr>
          <w:snapToGrid/>
        </w:rPr>
      </w:pPr>
      <w:bookmarkStart w:id="5" w:name="_Toc510629118"/>
      <w:r w:rsidRPr="005C55D6">
        <w:rPr>
          <w:snapToGrid/>
        </w:rPr>
        <w:t>Livrables </w:t>
      </w:r>
      <w:r w:rsidR="008D6179" w:rsidRPr="005C55D6">
        <w:rPr>
          <w:snapToGrid/>
        </w:rPr>
        <w:t>attendus</w:t>
      </w:r>
      <w:bookmarkEnd w:id="5"/>
    </w:p>
    <w:p w14:paraId="5C2162A7" w14:textId="726D09EA" w:rsidR="002003D8" w:rsidRPr="006F3B0D" w:rsidRDefault="002003D8" w:rsidP="003A157A">
      <w:pPr>
        <w:jc w:val="both"/>
        <w:rPr>
          <w:rFonts w:cs="Calibri"/>
          <w:lang w:val="fr-FR"/>
        </w:rPr>
      </w:pPr>
      <w:r w:rsidRPr="006F3B0D">
        <w:rPr>
          <w:rFonts w:cs="Calibri"/>
          <w:lang w:val="fr-FR"/>
        </w:rPr>
        <w:t xml:space="preserve">La présente consultation devrait aboutir aux livrables suivants : </w:t>
      </w:r>
    </w:p>
    <w:p w14:paraId="07D28A5C" w14:textId="3725079D" w:rsidR="002003D8" w:rsidRDefault="002003D8" w:rsidP="002003D8">
      <w:pPr>
        <w:pStyle w:val="ListParagraph"/>
        <w:numPr>
          <w:ilvl w:val="0"/>
          <w:numId w:val="9"/>
        </w:numPr>
        <w:autoSpaceDE w:val="0"/>
        <w:autoSpaceDN w:val="0"/>
        <w:adjustRightInd w:val="0"/>
        <w:spacing w:before="120" w:after="120"/>
        <w:jc w:val="both"/>
        <w:rPr>
          <w:rFonts w:cs="Times New Roman"/>
          <w:lang w:val="fr-FR"/>
        </w:rPr>
      </w:pPr>
      <w:r w:rsidRPr="002003D8">
        <w:rPr>
          <w:rFonts w:cs="Times New Roman"/>
          <w:b/>
          <w:lang w:val="fr-FR"/>
        </w:rPr>
        <w:t xml:space="preserve">Une note méthodologique </w:t>
      </w:r>
      <w:r w:rsidR="00133515">
        <w:rPr>
          <w:rFonts w:cs="Times New Roman"/>
          <w:b/>
          <w:lang w:val="fr-FR"/>
        </w:rPr>
        <w:t xml:space="preserve">(10%) </w:t>
      </w:r>
      <w:r w:rsidRPr="002003D8">
        <w:rPr>
          <w:rFonts w:cs="Times New Roman"/>
          <w:lang w:val="fr-FR"/>
        </w:rPr>
        <w:t>en français</w:t>
      </w:r>
      <w:r w:rsidRPr="002003D8">
        <w:rPr>
          <w:rFonts w:cs="Times New Roman"/>
          <w:b/>
          <w:lang w:val="fr-FR"/>
        </w:rPr>
        <w:t xml:space="preserve"> </w:t>
      </w:r>
      <w:r w:rsidRPr="002003D8">
        <w:rPr>
          <w:rFonts w:cs="Times New Roman"/>
          <w:lang w:val="fr-FR"/>
        </w:rPr>
        <w:t xml:space="preserve">d’environ </w:t>
      </w:r>
      <w:r w:rsidR="00D17967">
        <w:rPr>
          <w:rFonts w:cs="Times New Roman"/>
          <w:lang w:val="fr-FR"/>
        </w:rPr>
        <w:t>5</w:t>
      </w:r>
      <w:r w:rsidRPr="002003D8">
        <w:rPr>
          <w:rFonts w:cs="Times New Roman"/>
          <w:lang w:val="fr-FR"/>
        </w:rPr>
        <w:t xml:space="preserve"> pages maximum</w:t>
      </w:r>
      <w:r w:rsidRPr="002003D8">
        <w:rPr>
          <w:rFonts w:cs="Times New Roman"/>
          <w:b/>
          <w:lang w:val="fr-FR"/>
        </w:rPr>
        <w:t xml:space="preserve"> </w:t>
      </w:r>
      <w:r w:rsidRPr="002003D8">
        <w:rPr>
          <w:rFonts w:cs="Times New Roman"/>
          <w:lang w:val="fr-FR"/>
        </w:rPr>
        <w:t xml:space="preserve">présentant en détail la méthodologie adoptée, la justification des choix méthodologiques, les </w:t>
      </w:r>
      <w:r w:rsidR="00B23ED5">
        <w:rPr>
          <w:rFonts w:cs="Times New Roman"/>
          <w:lang w:val="fr-FR"/>
        </w:rPr>
        <w:t>outils de collecte et d’analyse</w:t>
      </w:r>
      <w:r w:rsidRPr="002003D8">
        <w:rPr>
          <w:rFonts w:cs="Times New Roman"/>
          <w:lang w:val="fr-FR"/>
        </w:rPr>
        <w:t xml:space="preserve"> des données</w:t>
      </w:r>
      <w:r w:rsidR="00B43EFF" w:rsidRPr="00B43EFF">
        <w:rPr>
          <w:rFonts w:cs="Times New Roman"/>
          <w:lang w:val="fr-FR"/>
        </w:rPr>
        <w:t>, le planning de la mission et un calendrier prévisionnel des livrables</w:t>
      </w:r>
      <w:r w:rsidR="00B43EFF">
        <w:rPr>
          <w:rFonts w:cs="Times New Roman"/>
          <w:lang w:val="fr-FR"/>
        </w:rPr>
        <w:t xml:space="preserve"> </w:t>
      </w:r>
      <w:r>
        <w:rPr>
          <w:rFonts w:cs="Times New Roman"/>
          <w:lang w:val="fr-FR"/>
        </w:rPr>
        <w:t>…</w:t>
      </w:r>
      <w:r w:rsidRPr="002003D8">
        <w:rPr>
          <w:rFonts w:cs="Times New Roman"/>
          <w:lang w:val="fr-FR"/>
        </w:rPr>
        <w:t xml:space="preserve"> </w:t>
      </w:r>
    </w:p>
    <w:p w14:paraId="4DD8D254" w14:textId="5648F9CC" w:rsidR="002003D8" w:rsidRPr="002003D8" w:rsidRDefault="002003D8" w:rsidP="002003D8">
      <w:pPr>
        <w:pStyle w:val="ListParagraph"/>
        <w:numPr>
          <w:ilvl w:val="0"/>
          <w:numId w:val="9"/>
        </w:numPr>
        <w:autoSpaceDE w:val="0"/>
        <w:autoSpaceDN w:val="0"/>
        <w:adjustRightInd w:val="0"/>
        <w:spacing w:before="120" w:after="120"/>
        <w:jc w:val="both"/>
        <w:rPr>
          <w:rFonts w:cs="Times New Roman"/>
          <w:bCs/>
          <w:lang w:val="fr-FR"/>
        </w:rPr>
      </w:pPr>
      <w:r>
        <w:rPr>
          <w:rFonts w:cs="Times New Roman"/>
          <w:b/>
          <w:lang w:val="fr-FR"/>
        </w:rPr>
        <w:t>Un rapport de la revue de la littérature</w:t>
      </w:r>
      <w:r w:rsidR="00133515">
        <w:rPr>
          <w:rFonts w:cs="Times New Roman"/>
          <w:b/>
          <w:lang w:val="fr-FR"/>
        </w:rPr>
        <w:t xml:space="preserve"> (20%)</w:t>
      </w:r>
      <w:r>
        <w:rPr>
          <w:rFonts w:cs="Times New Roman"/>
          <w:b/>
          <w:lang w:val="fr-FR"/>
        </w:rPr>
        <w:t xml:space="preserve"> </w:t>
      </w:r>
      <w:r w:rsidRPr="002003D8">
        <w:rPr>
          <w:rFonts w:cs="Times New Roman"/>
          <w:bCs/>
          <w:lang w:val="fr-FR"/>
        </w:rPr>
        <w:t>avec un benchmark de bonnes pratiques et expériences réussies internationales</w:t>
      </w:r>
    </w:p>
    <w:p w14:paraId="7757CE0E" w14:textId="2EEF918C" w:rsidR="00BD1239" w:rsidRPr="00BD1239" w:rsidRDefault="00EF7221" w:rsidP="002003D8">
      <w:pPr>
        <w:numPr>
          <w:ilvl w:val="0"/>
          <w:numId w:val="9"/>
        </w:numPr>
        <w:spacing w:after="200" w:line="276" w:lineRule="auto"/>
        <w:jc w:val="both"/>
        <w:rPr>
          <w:lang w:val="fr-FR"/>
        </w:rPr>
      </w:pPr>
      <w:r w:rsidRPr="00BF7B23">
        <w:rPr>
          <w:rFonts w:cs="Times New Roman"/>
          <w:b/>
          <w:lang w:val="fr-FR"/>
        </w:rPr>
        <w:t>La version préliminaire des deux kits de formation</w:t>
      </w:r>
      <w:r w:rsidRPr="00133515">
        <w:rPr>
          <w:rFonts w:cs="Times New Roman"/>
          <w:b/>
          <w:lang w:val="fr-FR"/>
        </w:rPr>
        <w:t xml:space="preserve"> </w:t>
      </w:r>
      <w:r w:rsidR="00133515" w:rsidRPr="00133515">
        <w:rPr>
          <w:rFonts w:cs="Times New Roman"/>
          <w:b/>
          <w:lang w:val="fr-FR"/>
        </w:rPr>
        <w:t>(</w:t>
      </w:r>
      <w:r w:rsidR="0091043D">
        <w:rPr>
          <w:rFonts w:cs="Times New Roman"/>
          <w:b/>
          <w:lang w:val="fr-FR"/>
        </w:rPr>
        <w:t>3</w:t>
      </w:r>
      <w:r w:rsidR="00133515" w:rsidRPr="00133515">
        <w:rPr>
          <w:rFonts w:cs="Times New Roman"/>
          <w:b/>
          <w:lang w:val="fr-FR"/>
        </w:rPr>
        <w:t>0%)</w:t>
      </w:r>
      <w:r w:rsidR="00133515">
        <w:rPr>
          <w:rFonts w:cs="Calibri"/>
          <w:lang w:val="fr-FR"/>
        </w:rPr>
        <w:t xml:space="preserve"> </w:t>
      </w:r>
      <w:r w:rsidR="00BD1239">
        <w:rPr>
          <w:rFonts w:cs="Calibri"/>
          <w:lang w:val="fr-FR"/>
        </w:rPr>
        <w:t>comme suit :</w:t>
      </w:r>
    </w:p>
    <w:p w14:paraId="3716A665" w14:textId="77777777" w:rsidR="00BD1239" w:rsidRPr="00F81C42" w:rsidRDefault="00BD1239"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7AFA2F54" w14:textId="77777777" w:rsidR="00BD1239" w:rsidRPr="00F81C42" w:rsidRDefault="00BD1239"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6AF6A405" w14:textId="77777777" w:rsidR="00BD1239" w:rsidRPr="00F81C42" w:rsidRDefault="00BD1239"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A4624DE" w14:textId="2868521C" w:rsidR="00BD1239" w:rsidRPr="00BD1239" w:rsidRDefault="00BD1239"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p w14:paraId="3B517DCD" w14:textId="37AF69CC" w:rsidR="00B43EFF" w:rsidRPr="00143C82" w:rsidRDefault="00B43EFF" w:rsidP="00F81C42">
      <w:pPr>
        <w:pStyle w:val="ListParagraph"/>
        <w:numPr>
          <w:ilvl w:val="0"/>
          <w:numId w:val="9"/>
        </w:numPr>
        <w:autoSpaceDE w:val="0"/>
        <w:autoSpaceDN w:val="0"/>
        <w:adjustRightInd w:val="0"/>
        <w:spacing w:line="276" w:lineRule="auto"/>
        <w:jc w:val="both"/>
        <w:rPr>
          <w:rFonts w:cs="Times New Roman"/>
          <w:bCs/>
          <w:lang w:val="fr-FR"/>
        </w:rPr>
      </w:pPr>
      <w:r w:rsidRPr="00BF7B23">
        <w:rPr>
          <w:rFonts w:cs="Times New Roman"/>
          <w:b/>
          <w:lang w:val="fr-FR"/>
        </w:rPr>
        <w:lastRenderedPageBreak/>
        <w:t>La version finalisée des deux kits de formation</w:t>
      </w:r>
      <w:r w:rsidR="00547B2C">
        <w:rPr>
          <w:rFonts w:ascii="Georgia" w:hAnsi="Georgia" w:cs="Times New Roman"/>
          <w:lang w:val="fr-FR" w:eastAsia="fr-FR"/>
        </w:rPr>
        <w:t xml:space="preserve"> </w:t>
      </w:r>
      <w:r w:rsidR="0091043D" w:rsidRPr="00720377">
        <w:rPr>
          <w:rFonts w:cs="Times New Roman"/>
          <w:b/>
          <w:lang w:val="fr-FR"/>
        </w:rPr>
        <w:t>(30</w:t>
      </w:r>
      <w:r w:rsidR="00720377" w:rsidRPr="00720377">
        <w:rPr>
          <w:rFonts w:cs="Times New Roman"/>
          <w:b/>
          <w:lang w:val="fr-FR"/>
        </w:rPr>
        <w:t>%)</w:t>
      </w:r>
      <w:r w:rsidR="00720377">
        <w:rPr>
          <w:rFonts w:ascii="Georgia" w:hAnsi="Georgia" w:cs="Times New Roman"/>
          <w:lang w:val="fr-FR" w:eastAsia="fr-FR"/>
        </w:rPr>
        <w:t xml:space="preserve"> </w:t>
      </w:r>
      <w:r w:rsidR="00B82BE9" w:rsidRPr="00143C82">
        <w:rPr>
          <w:rFonts w:cs="Times New Roman"/>
          <w:bCs/>
          <w:lang w:val="fr-FR"/>
        </w:rPr>
        <w:t>comme suit :</w:t>
      </w:r>
    </w:p>
    <w:p w14:paraId="40540055" w14:textId="4876B764" w:rsidR="00B43EFF" w:rsidRPr="00F81C42" w:rsidRDefault="00B43EFF" w:rsidP="00F81C42">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 xml:space="preserve">Composition des kits : Plan de cours, modules sur fichiers </w:t>
      </w:r>
      <w:r w:rsidR="00F81C42" w:rsidRPr="00F81C42">
        <w:rPr>
          <w:rFonts w:cs="Times New Roman"/>
          <w:bCs/>
          <w:lang w:val="fr-FR"/>
        </w:rPr>
        <w:t>Word</w:t>
      </w:r>
      <w:r w:rsidRPr="00F81C42">
        <w:rPr>
          <w:rFonts w:cs="Times New Roman"/>
          <w:bCs/>
          <w:lang w:val="fr-FR"/>
        </w:rPr>
        <w:t xml:space="preserve"> avec fiche pédagogique pour chaque module, présentation power point, exercices d’application.</w:t>
      </w:r>
    </w:p>
    <w:p w14:paraId="719D9511" w14:textId="77777777" w:rsidR="00B43EFF" w:rsidRPr="00F81C42" w:rsidRDefault="00B43EFF" w:rsidP="00F81C42">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456CA55C" w14:textId="77777777" w:rsidR="00B43EFF" w:rsidRPr="00F81C42" w:rsidRDefault="00B43EFF" w:rsidP="00F81C42">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410A1BF" w14:textId="1686614B" w:rsidR="00B43EFF" w:rsidRPr="00F81C42" w:rsidRDefault="00B43EFF" w:rsidP="00F81C42">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p w14:paraId="044C8111" w14:textId="77777777" w:rsidR="002003D8" w:rsidRDefault="002003D8" w:rsidP="002003D8">
      <w:pPr>
        <w:pStyle w:val="ListParagraph"/>
        <w:jc w:val="both"/>
        <w:rPr>
          <w:rFonts w:cs="Calibri"/>
          <w:lang w:val="fr-FR"/>
        </w:rPr>
      </w:pPr>
    </w:p>
    <w:p w14:paraId="06001563" w14:textId="4B7C176C" w:rsidR="002003D8" w:rsidRPr="002003D8" w:rsidRDefault="00F81C42" w:rsidP="00F81C42">
      <w:pPr>
        <w:pStyle w:val="ListParagraph"/>
        <w:numPr>
          <w:ilvl w:val="0"/>
          <w:numId w:val="9"/>
        </w:numPr>
        <w:autoSpaceDE w:val="0"/>
        <w:autoSpaceDN w:val="0"/>
        <w:adjustRightInd w:val="0"/>
        <w:spacing w:line="276" w:lineRule="auto"/>
        <w:jc w:val="both"/>
        <w:rPr>
          <w:rFonts w:cs="Calibri"/>
          <w:lang w:val="fr-FR"/>
        </w:rPr>
      </w:pPr>
      <w:r w:rsidRPr="00F81C42">
        <w:rPr>
          <w:rFonts w:cs="Calibri"/>
          <w:b/>
          <w:bCs/>
          <w:lang w:val="fr-FR"/>
        </w:rPr>
        <w:t>Le rapport global de mission</w:t>
      </w:r>
      <w:r w:rsidRPr="00F81C42">
        <w:rPr>
          <w:rFonts w:cs="Calibri"/>
          <w:lang w:val="fr-FR"/>
        </w:rPr>
        <w:t xml:space="preserve"> </w:t>
      </w:r>
      <w:r w:rsidRPr="0091043D">
        <w:rPr>
          <w:rFonts w:cs="Calibri"/>
          <w:b/>
          <w:bCs/>
          <w:lang w:val="fr-FR"/>
        </w:rPr>
        <w:t>(10%</w:t>
      </w:r>
      <w:r w:rsidR="0091043D" w:rsidRPr="0091043D">
        <w:rPr>
          <w:rFonts w:cs="Calibri"/>
          <w:b/>
          <w:bCs/>
          <w:lang w:val="fr-FR"/>
        </w:rPr>
        <w:t>)</w:t>
      </w:r>
      <w:r w:rsidR="0091043D">
        <w:rPr>
          <w:rFonts w:cs="Calibri"/>
          <w:lang w:val="fr-FR"/>
        </w:rPr>
        <w:t xml:space="preserve"> </w:t>
      </w:r>
      <w:r w:rsidRPr="00F81C42">
        <w:rPr>
          <w:rFonts w:cs="Calibri"/>
          <w:lang w:val="fr-FR"/>
        </w:rPr>
        <w:t>contenant les procès-verbaux des réunions organisées</w:t>
      </w:r>
      <w:r w:rsidR="002003D8" w:rsidRPr="002003D8">
        <w:rPr>
          <w:rFonts w:cs="Calibri"/>
          <w:lang w:val="fr-FR"/>
        </w:rPr>
        <w:t>.</w:t>
      </w:r>
    </w:p>
    <w:p w14:paraId="4C4130E2" w14:textId="77777777" w:rsidR="002003D8" w:rsidRPr="002003D8" w:rsidRDefault="002003D8" w:rsidP="002003D8">
      <w:pPr>
        <w:pStyle w:val="ListParagraph"/>
        <w:ind w:left="0"/>
        <w:jc w:val="both"/>
        <w:rPr>
          <w:rFonts w:cs="Calibri"/>
          <w:lang w:val="fr-FR"/>
        </w:rPr>
      </w:pPr>
    </w:p>
    <w:p w14:paraId="47C91173" w14:textId="77777777" w:rsidR="00C93F4C" w:rsidRPr="00C93F4C" w:rsidRDefault="00C93F4C" w:rsidP="00C93F4C">
      <w:pPr>
        <w:pStyle w:val="ListParagraph"/>
        <w:numPr>
          <w:ilvl w:val="0"/>
          <w:numId w:val="9"/>
        </w:numPr>
        <w:autoSpaceDE w:val="0"/>
        <w:autoSpaceDN w:val="0"/>
        <w:adjustRightInd w:val="0"/>
        <w:spacing w:line="276" w:lineRule="auto"/>
        <w:jc w:val="both"/>
        <w:rPr>
          <w:rFonts w:cs="Calibri"/>
          <w:lang w:val="fr-FR"/>
        </w:rPr>
      </w:pPr>
      <w:r w:rsidRPr="00C93F4C">
        <w:rPr>
          <w:rFonts w:cs="Calibri"/>
          <w:lang w:val="fr-FR"/>
        </w:rPr>
        <w:t>Des réunions de coordination et de suivi de l’état d’avancement de la mission seront tenues avec le comité de suivi de cette consultation à la fin de chacune des étapes de la consultation et à la demande.</w:t>
      </w:r>
    </w:p>
    <w:p w14:paraId="07AF385B" w14:textId="77777777" w:rsidR="00C93F4C" w:rsidRPr="00C93F4C" w:rsidRDefault="00C93F4C" w:rsidP="00C93F4C">
      <w:pPr>
        <w:pStyle w:val="ListParagraph"/>
        <w:numPr>
          <w:ilvl w:val="0"/>
          <w:numId w:val="9"/>
        </w:numPr>
        <w:autoSpaceDE w:val="0"/>
        <w:autoSpaceDN w:val="0"/>
        <w:adjustRightInd w:val="0"/>
        <w:spacing w:line="276" w:lineRule="auto"/>
        <w:jc w:val="both"/>
        <w:rPr>
          <w:rFonts w:cs="Calibri"/>
          <w:lang w:val="fr-FR"/>
        </w:rPr>
      </w:pPr>
      <w:r w:rsidRPr="00C93F4C">
        <w:rPr>
          <w:rFonts w:cs="Calibri"/>
          <w:lang w:val="fr-FR"/>
        </w:rPr>
        <w:t>Les livrables seront présentés lors des réunions de restitution à laquelle assisteront les membres du comité de suivi et d’autres représentants du Ministère de la Santé si nécessaire.</w:t>
      </w:r>
    </w:p>
    <w:p w14:paraId="72830548" w14:textId="77777777" w:rsidR="004C6823" w:rsidRDefault="004C6823" w:rsidP="00E10DAE">
      <w:pPr>
        <w:rPr>
          <w:rFonts w:cstheme="minorHAnsi"/>
          <w:b/>
          <w:lang w:val="fr-FR"/>
        </w:rPr>
      </w:pPr>
    </w:p>
    <w:p w14:paraId="75F790A8" w14:textId="1DFF186C" w:rsidR="0090252D" w:rsidRDefault="004C6823" w:rsidP="005C55D6">
      <w:pPr>
        <w:pStyle w:val="Heading1"/>
        <w:rPr>
          <w:snapToGrid/>
        </w:rPr>
      </w:pPr>
      <w:bookmarkStart w:id="6" w:name="_Toc510629119"/>
      <w:r w:rsidRPr="005C55D6">
        <w:rPr>
          <w:snapToGrid/>
        </w:rPr>
        <w:t>Durée et d</w:t>
      </w:r>
      <w:r w:rsidR="00E10DAE" w:rsidRPr="005C55D6">
        <w:rPr>
          <w:snapToGrid/>
        </w:rPr>
        <w:t>ate de mission proposée</w:t>
      </w:r>
      <w:bookmarkEnd w:id="6"/>
    </w:p>
    <w:p w14:paraId="4454BC9E" w14:textId="1C720E41" w:rsidR="004C6823" w:rsidRDefault="004C6823" w:rsidP="0090252D">
      <w:pPr>
        <w:rPr>
          <w:rFonts w:cstheme="minorHAnsi"/>
          <w:lang w:val="fr-FR"/>
        </w:rPr>
      </w:pPr>
      <w:r w:rsidRPr="003A157A">
        <w:rPr>
          <w:rFonts w:cstheme="minorHAnsi"/>
          <w:lang w:val="fr-FR"/>
        </w:rPr>
        <w:t xml:space="preserve">La durée de consultation est de </w:t>
      </w:r>
      <w:r w:rsidR="00834880">
        <w:rPr>
          <w:rFonts w:cstheme="minorHAnsi"/>
          <w:lang w:val="fr-FR"/>
        </w:rPr>
        <w:t>15</w:t>
      </w:r>
      <w:r w:rsidRPr="003A157A">
        <w:rPr>
          <w:rFonts w:cstheme="minorHAnsi"/>
          <w:lang w:val="fr-FR"/>
        </w:rPr>
        <w:t xml:space="preserve"> jours</w:t>
      </w:r>
      <w:r w:rsidR="003A157A">
        <w:rPr>
          <w:rFonts w:cstheme="minorHAnsi"/>
          <w:lang w:val="fr-FR"/>
        </w:rPr>
        <w:t xml:space="preserve"> /</w:t>
      </w:r>
      <w:r w:rsidR="0090252D" w:rsidRPr="003A157A">
        <w:rPr>
          <w:rFonts w:cstheme="minorHAnsi"/>
          <w:lang w:val="fr-FR"/>
        </w:rPr>
        <w:t xml:space="preserve"> </w:t>
      </w:r>
      <w:r w:rsidR="003A157A" w:rsidRPr="003A157A">
        <w:rPr>
          <w:rFonts w:cstheme="minorHAnsi"/>
          <w:lang w:val="fr-FR"/>
        </w:rPr>
        <w:t xml:space="preserve">homme </w:t>
      </w:r>
      <w:r w:rsidR="0090252D" w:rsidRPr="003A157A">
        <w:rPr>
          <w:rFonts w:cstheme="minorHAnsi"/>
          <w:lang w:val="fr-FR"/>
        </w:rPr>
        <w:t xml:space="preserve">qui doit se dérouler sur un maximum de 3 mois à partir de la </w:t>
      </w:r>
      <w:r w:rsidR="003A157A">
        <w:rPr>
          <w:rFonts w:cstheme="minorHAnsi"/>
          <w:lang w:val="fr-FR"/>
        </w:rPr>
        <w:t xml:space="preserve">date de </w:t>
      </w:r>
      <w:r w:rsidR="0090252D" w:rsidRPr="003A157A">
        <w:rPr>
          <w:rFonts w:cstheme="minorHAnsi"/>
          <w:lang w:val="fr-FR"/>
        </w:rPr>
        <w:t>signature du contrat</w:t>
      </w:r>
      <w:r w:rsidRPr="003A157A">
        <w:rPr>
          <w:rFonts w:cstheme="minorHAnsi"/>
          <w:lang w:val="fr-FR"/>
        </w:rPr>
        <w:t>.</w:t>
      </w:r>
    </w:p>
    <w:p w14:paraId="5FEF0148" w14:textId="77777777" w:rsidR="003A157A" w:rsidRPr="003A157A" w:rsidRDefault="003A157A" w:rsidP="0090252D">
      <w:pPr>
        <w:rPr>
          <w:rFonts w:cstheme="minorHAnsi"/>
          <w:lang w:val="fr-FR"/>
        </w:rPr>
      </w:pPr>
    </w:p>
    <w:p w14:paraId="744560D0" w14:textId="41A3DE9F" w:rsidR="00E10DAE" w:rsidRDefault="00E10DAE" w:rsidP="0090252D">
      <w:pPr>
        <w:jc w:val="both"/>
        <w:rPr>
          <w:rFonts w:cstheme="minorHAnsi"/>
          <w:lang w:val="fr-FR"/>
        </w:rPr>
      </w:pPr>
      <w:r w:rsidRPr="003A157A">
        <w:rPr>
          <w:rFonts w:cstheme="minorHAnsi"/>
          <w:lang w:val="fr-FR"/>
        </w:rPr>
        <w:t>La date proposée pour l</w:t>
      </w:r>
      <w:r w:rsidR="009B6ADD">
        <w:rPr>
          <w:rFonts w:cstheme="minorHAnsi"/>
          <w:lang w:val="fr-FR"/>
        </w:rPr>
        <w:t>e démarrage de l</w:t>
      </w:r>
      <w:r w:rsidRPr="003A157A">
        <w:rPr>
          <w:rFonts w:cstheme="minorHAnsi"/>
          <w:lang w:val="fr-FR"/>
        </w:rPr>
        <w:t xml:space="preserve">a </w:t>
      </w:r>
      <w:r w:rsidR="00834880">
        <w:rPr>
          <w:rFonts w:cstheme="minorHAnsi"/>
          <w:lang w:val="fr-FR"/>
        </w:rPr>
        <w:t xml:space="preserve">consultation est </w:t>
      </w:r>
      <w:r w:rsidR="00B30C2F">
        <w:rPr>
          <w:rFonts w:cstheme="minorHAnsi"/>
          <w:lang w:val="fr-FR"/>
        </w:rPr>
        <w:t>décembre</w:t>
      </w:r>
      <w:r w:rsidRPr="003A157A">
        <w:rPr>
          <w:rFonts w:cstheme="minorHAnsi"/>
          <w:lang w:val="fr-FR"/>
        </w:rPr>
        <w:t xml:space="preserve"> 20</w:t>
      </w:r>
      <w:r w:rsidR="00B30C2F">
        <w:rPr>
          <w:rFonts w:cstheme="minorHAnsi"/>
          <w:lang w:val="fr-FR"/>
        </w:rPr>
        <w:t xml:space="preserve">21 </w:t>
      </w:r>
      <w:r w:rsidRPr="003A157A">
        <w:rPr>
          <w:rFonts w:cstheme="minorHAnsi"/>
          <w:lang w:val="fr-FR"/>
        </w:rPr>
        <w:t xml:space="preserve">et </w:t>
      </w:r>
      <w:r w:rsidR="009B6ADD">
        <w:rPr>
          <w:rFonts w:cstheme="minorHAnsi"/>
          <w:lang w:val="fr-FR"/>
        </w:rPr>
        <w:t xml:space="preserve">celle de la soumission de la version finale des 2 kits de formation est </w:t>
      </w:r>
      <w:r w:rsidR="00B30C2F">
        <w:rPr>
          <w:rFonts w:cstheme="minorHAnsi"/>
          <w:lang w:val="fr-FR"/>
        </w:rPr>
        <w:t>février</w:t>
      </w:r>
      <w:r w:rsidRPr="003A157A">
        <w:rPr>
          <w:rFonts w:cstheme="minorHAnsi"/>
          <w:lang w:val="fr-FR"/>
        </w:rPr>
        <w:t xml:space="preserve"> 20</w:t>
      </w:r>
      <w:r w:rsidR="00B30C2F">
        <w:rPr>
          <w:rFonts w:cstheme="minorHAnsi"/>
          <w:lang w:val="fr-FR"/>
        </w:rPr>
        <w:t>21</w:t>
      </w:r>
      <w:r w:rsidR="003A157A">
        <w:rPr>
          <w:rFonts w:cstheme="minorHAnsi"/>
          <w:lang w:val="fr-FR"/>
        </w:rPr>
        <w:t xml:space="preserve"> ().</w:t>
      </w:r>
    </w:p>
    <w:p w14:paraId="1AFF7B10" w14:textId="77777777" w:rsidR="003A157A" w:rsidRPr="003A157A" w:rsidRDefault="003A157A" w:rsidP="0090252D">
      <w:pPr>
        <w:jc w:val="both"/>
        <w:rPr>
          <w:rFonts w:cstheme="minorHAnsi"/>
          <w:lang w:val="fr-FR"/>
        </w:rPr>
      </w:pPr>
    </w:p>
    <w:p w14:paraId="677FEBF0" w14:textId="33441757" w:rsidR="002003D8" w:rsidRDefault="002003D8" w:rsidP="00E10DAE">
      <w:pPr>
        <w:rPr>
          <w:rFonts w:cstheme="minorHAnsi"/>
          <w:lang w:val="fr-FR"/>
        </w:rPr>
      </w:pPr>
      <w:r w:rsidRPr="003A157A">
        <w:rPr>
          <w:rFonts w:cstheme="minorHAnsi"/>
          <w:lang w:val="fr-FR"/>
        </w:rPr>
        <w:t>La réunion de démarrage et de cadrage permettra</w:t>
      </w:r>
      <w:r w:rsidR="000B7477">
        <w:rPr>
          <w:rFonts w:cstheme="minorHAnsi"/>
          <w:lang w:val="fr-FR"/>
        </w:rPr>
        <w:t xml:space="preserve"> la discussion de la note méthodologique et de l’échéancier de réalisation.</w:t>
      </w:r>
      <w:r w:rsidRPr="003A157A">
        <w:rPr>
          <w:rFonts w:cstheme="minorHAnsi"/>
          <w:lang w:val="fr-FR"/>
        </w:rPr>
        <w:t xml:space="preserve"> </w:t>
      </w:r>
      <w:r w:rsidR="00B23ED5" w:rsidRPr="003A157A">
        <w:rPr>
          <w:rFonts w:cstheme="minorHAnsi"/>
          <w:lang w:val="fr-FR"/>
        </w:rPr>
        <w:t>Elle peut être faite à distance.</w:t>
      </w:r>
    </w:p>
    <w:p w14:paraId="58262DF8" w14:textId="77777777" w:rsidR="00B23ED5" w:rsidRPr="003A157A" w:rsidRDefault="00B23ED5" w:rsidP="00E10DAE">
      <w:pPr>
        <w:rPr>
          <w:rFonts w:cstheme="minorHAnsi"/>
          <w:lang w:val="fr-FR"/>
        </w:rPr>
      </w:pPr>
    </w:p>
    <w:p w14:paraId="03BF6243" w14:textId="506CBACB" w:rsidR="008D6179" w:rsidRPr="003A157A" w:rsidRDefault="008D6179" w:rsidP="008D6179">
      <w:pPr>
        <w:spacing w:before="240"/>
        <w:contextualSpacing/>
        <w:jc w:val="both"/>
        <w:rPr>
          <w:rFonts w:cstheme="minorHAnsi"/>
          <w:lang w:val="fr-FR"/>
        </w:rPr>
      </w:pPr>
      <w:r w:rsidRPr="003A157A">
        <w:rPr>
          <w:rFonts w:cstheme="minorHAnsi"/>
          <w:lang w:val="fr-FR"/>
        </w:rPr>
        <w:t xml:space="preserve">Le paiement de la consultation sera fait par facturation partielle </w:t>
      </w:r>
      <w:r w:rsidRPr="003A157A">
        <w:rPr>
          <w:rFonts w:cstheme="minorHAnsi"/>
          <w:b/>
          <w:lang w:val="fr-FR"/>
        </w:rPr>
        <w:t xml:space="preserve">après la réception et la validation finale des livrables par le comité de </w:t>
      </w:r>
      <w:r w:rsidR="0090252D" w:rsidRPr="003A157A">
        <w:rPr>
          <w:rFonts w:cstheme="minorHAnsi"/>
          <w:b/>
          <w:lang w:val="fr-FR"/>
        </w:rPr>
        <w:t>suivi</w:t>
      </w:r>
      <w:r w:rsidRPr="003A157A">
        <w:rPr>
          <w:rFonts w:cstheme="minorHAnsi"/>
          <w:lang w:val="fr-FR"/>
        </w:rPr>
        <w:t xml:space="preserve"> selon le </w:t>
      </w:r>
      <w:r w:rsidR="009F6E76">
        <w:rPr>
          <w:rFonts w:cstheme="minorHAnsi"/>
          <w:lang w:val="fr-FR"/>
        </w:rPr>
        <w:t>pourcenta</w:t>
      </w:r>
      <w:r w:rsidR="00FD6911">
        <w:rPr>
          <w:rFonts w:cstheme="minorHAnsi"/>
          <w:lang w:val="fr-FR"/>
        </w:rPr>
        <w:t>ge</w:t>
      </w:r>
      <w:r w:rsidRPr="003A157A">
        <w:rPr>
          <w:rFonts w:cstheme="minorHAnsi"/>
          <w:lang w:val="fr-FR"/>
        </w:rPr>
        <w:t xml:space="preserve"> suivant</w:t>
      </w:r>
      <w:r w:rsidR="00B23ED5" w:rsidRPr="003A157A">
        <w:rPr>
          <w:rFonts w:cstheme="minorHAnsi"/>
          <w:lang w:val="fr-FR"/>
        </w:rPr>
        <w:t xml:space="preserve"> </w:t>
      </w:r>
      <w:r w:rsidRPr="003A157A">
        <w:rPr>
          <w:rFonts w:cstheme="minorHAnsi"/>
          <w:lang w:val="fr-FR"/>
        </w:rPr>
        <w:t>:</w:t>
      </w:r>
    </w:p>
    <w:p w14:paraId="63E88D00" w14:textId="77777777" w:rsidR="00B23ED5" w:rsidRPr="003A157A" w:rsidRDefault="00B23ED5" w:rsidP="008D6179">
      <w:pPr>
        <w:spacing w:before="240"/>
        <w:contextualSpacing/>
        <w:jc w:val="both"/>
        <w:rPr>
          <w:rFonts w:cstheme="minorHAnsi"/>
          <w:lang w:val="fr-FR"/>
        </w:rPr>
      </w:pPr>
    </w:p>
    <w:tbl>
      <w:tblPr>
        <w:tblW w:w="9071" w:type="dxa"/>
        <w:tblCellMar>
          <w:left w:w="0" w:type="dxa"/>
          <w:right w:w="0" w:type="dxa"/>
        </w:tblCellMar>
        <w:tblLook w:val="04A0" w:firstRow="1" w:lastRow="0" w:firstColumn="1" w:lastColumn="0" w:noHBand="0" w:noVBand="1"/>
      </w:tblPr>
      <w:tblGrid>
        <w:gridCol w:w="5875"/>
        <w:gridCol w:w="1598"/>
        <w:gridCol w:w="1598"/>
      </w:tblGrid>
      <w:tr w:rsidR="009B6ADD" w:rsidRPr="003A157A" w14:paraId="5FA6D56D" w14:textId="77777777" w:rsidTr="009B6ADD">
        <w:trPr>
          <w:trHeight w:val="170"/>
        </w:trPr>
        <w:tc>
          <w:tcPr>
            <w:tcW w:w="5875"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60295BC9" w14:textId="7BDCB73B" w:rsidR="009B6ADD" w:rsidRPr="003A157A" w:rsidRDefault="009B6ADD" w:rsidP="00234CB3">
            <w:pPr>
              <w:spacing w:before="240"/>
              <w:ind w:left="306"/>
              <w:contextualSpacing/>
              <w:jc w:val="center"/>
              <w:rPr>
                <w:rFonts w:cstheme="minorHAnsi"/>
                <w:b/>
                <w:bCs/>
              </w:rPr>
            </w:pPr>
            <w:proofErr w:type="spellStart"/>
            <w:r>
              <w:rPr>
                <w:rFonts w:cstheme="minorHAnsi"/>
                <w:b/>
                <w:bCs/>
              </w:rPr>
              <w:t>L</w:t>
            </w:r>
            <w:r w:rsidRPr="003A157A">
              <w:rPr>
                <w:rFonts w:cstheme="minorHAnsi"/>
                <w:b/>
                <w:bCs/>
              </w:rPr>
              <w:t>ivrables</w:t>
            </w:r>
            <w:proofErr w:type="spellEnd"/>
          </w:p>
        </w:tc>
        <w:tc>
          <w:tcPr>
            <w:tcW w:w="1598" w:type="dxa"/>
            <w:tcBorders>
              <w:top w:val="single" w:sz="8" w:space="0" w:color="auto"/>
              <w:left w:val="nil"/>
              <w:bottom w:val="single" w:sz="8" w:space="0" w:color="auto"/>
              <w:right w:val="single" w:sz="4" w:space="0" w:color="auto"/>
            </w:tcBorders>
            <w:shd w:val="clear" w:color="auto" w:fill="C6D9F1"/>
          </w:tcPr>
          <w:p w14:paraId="07AF3DD0" w14:textId="1342CFEC" w:rsidR="009B6ADD" w:rsidRPr="003A157A" w:rsidRDefault="009B6ADD" w:rsidP="00234CB3">
            <w:pPr>
              <w:spacing w:before="240"/>
              <w:ind w:left="306"/>
              <w:contextualSpacing/>
              <w:jc w:val="center"/>
              <w:rPr>
                <w:rFonts w:cstheme="minorHAnsi"/>
                <w:b/>
                <w:bCs/>
              </w:rPr>
            </w:pPr>
            <w:proofErr w:type="spellStart"/>
            <w:r>
              <w:rPr>
                <w:rFonts w:cstheme="minorHAnsi"/>
                <w:b/>
                <w:bCs/>
              </w:rPr>
              <w:t>Nombre</w:t>
            </w:r>
            <w:proofErr w:type="spellEnd"/>
            <w:r>
              <w:rPr>
                <w:rFonts w:cstheme="minorHAnsi"/>
                <w:b/>
                <w:bCs/>
              </w:rPr>
              <w:t xml:space="preserve"> de </w:t>
            </w:r>
            <w:proofErr w:type="spellStart"/>
            <w:r>
              <w:rPr>
                <w:rFonts w:cstheme="minorHAnsi"/>
                <w:b/>
                <w:bCs/>
              </w:rPr>
              <w:t>jours</w:t>
            </w:r>
            <w:proofErr w:type="spellEnd"/>
            <w:r>
              <w:rPr>
                <w:rFonts w:cstheme="minorHAnsi"/>
                <w:b/>
                <w:bCs/>
              </w:rPr>
              <w:t xml:space="preserve"> </w:t>
            </w:r>
            <w:proofErr w:type="spellStart"/>
            <w:r>
              <w:rPr>
                <w:rFonts w:cstheme="minorHAnsi"/>
                <w:b/>
                <w:bCs/>
              </w:rPr>
              <w:t>estimé</w:t>
            </w:r>
            <w:proofErr w:type="spellEnd"/>
            <w:r>
              <w:rPr>
                <w:rFonts w:cstheme="minorHAnsi"/>
                <w:b/>
                <w:bCs/>
              </w:rPr>
              <w:t xml:space="preserve"> </w:t>
            </w:r>
          </w:p>
        </w:tc>
        <w:tc>
          <w:tcPr>
            <w:tcW w:w="1598" w:type="dxa"/>
            <w:tcBorders>
              <w:top w:val="single" w:sz="8" w:space="0" w:color="auto"/>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4AA2B92D" w14:textId="2D7F4CBA" w:rsidR="009B6ADD" w:rsidRPr="003A157A" w:rsidRDefault="009B6ADD" w:rsidP="00234CB3">
            <w:pPr>
              <w:spacing w:before="240"/>
              <w:ind w:left="306"/>
              <w:contextualSpacing/>
              <w:jc w:val="center"/>
              <w:rPr>
                <w:rFonts w:cstheme="minorHAnsi"/>
                <w:b/>
                <w:bCs/>
              </w:rPr>
            </w:pPr>
            <w:r w:rsidRPr="003A157A">
              <w:rPr>
                <w:rFonts w:cstheme="minorHAnsi"/>
                <w:b/>
                <w:bCs/>
              </w:rPr>
              <w:t xml:space="preserve">% de </w:t>
            </w:r>
            <w:proofErr w:type="spellStart"/>
            <w:r w:rsidRPr="003A157A">
              <w:rPr>
                <w:rFonts w:cstheme="minorHAnsi"/>
                <w:b/>
                <w:bCs/>
              </w:rPr>
              <w:t>paiement</w:t>
            </w:r>
            <w:proofErr w:type="spellEnd"/>
          </w:p>
        </w:tc>
      </w:tr>
      <w:tr w:rsidR="009B6ADD" w:rsidRPr="003A157A" w14:paraId="6B2CAD9F" w14:textId="77777777" w:rsidTr="009B6ADD">
        <w:trPr>
          <w:trHeight w:val="88"/>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6ADE3" w14:textId="77777777" w:rsidR="009B6ADD" w:rsidRPr="003A157A" w:rsidRDefault="009B6ADD" w:rsidP="000E03A8">
            <w:pPr>
              <w:contextualSpacing/>
              <w:jc w:val="both"/>
              <w:rPr>
                <w:rFonts w:cstheme="minorHAnsi"/>
              </w:rPr>
            </w:pPr>
            <w:r w:rsidRPr="003A157A">
              <w:rPr>
                <w:rFonts w:cstheme="minorHAnsi"/>
              </w:rPr>
              <w:t xml:space="preserve">Date de </w:t>
            </w:r>
            <w:proofErr w:type="spellStart"/>
            <w:r w:rsidRPr="003A157A">
              <w:rPr>
                <w:rFonts w:cstheme="minorHAnsi"/>
              </w:rPr>
              <w:t>démarrage</w:t>
            </w:r>
            <w:proofErr w:type="spellEnd"/>
            <w:r w:rsidRPr="003A157A">
              <w:rPr>
                <w:rFonts w:cstheme="minorHAnsi"/>
              </w:rPr>
              <w:t xml:space="preserve"> </w:t>
            </w:r>
            <w:proofErr w:type="spellStart"/>
            <w:r w:rsidRPr="003A157A">
              <w:rPr>
                <w:rFonts w:cstheme="minorHAnsi"/>
              </w:rPr>
              <w:t>souhaitée</w:t>
            </w:r>
            <w:proofErr w:type="spellEnd"/>
          </w:p>
        </w:tc>
        <w:tc>
          <w:tcPr>
            <w:tcW w:w="1598" w:type="dxa"/>
            <w:tcBorders>
              <w:top w:val="nil"/>
              <w:left w:val="nil"/>
              <w:bottom w:val="single" w:sz="8" w:space="0" w:color="auto"/>
              <w:right w:val="single" w:sz="4" w:space="0" w:color="auto"/>
            </w:tcBorders>
          </w:tcPr>
          <w:p w14:paraId="663FD5C1" w14:textId="397FD41A" w:rsidR="009B6ADD" w:rsidRPr="003A157A" w:rsidRDefault="009B6ADD" w:rsidP="000E03A8">
            <w:pPr>
              <w:ind w:left="306"/>
              <w:contextualSpacing/>
              <w:jc w:val="both"/>
              <w:rPr>
                <w:rFonts w:cstheme="minorHAnsi"/>
              </w:rPr>
            </w:pPr>
            <w:proofErr w:type="spellStart"/>
            <w:r>
              <w:rPr>
                <w:rFonts w:cstheme="minorHAnsi"/>
              </w:rPr>
              <w:t>Décembre</w:t>
            </w:r>
            <w:proofErr w:type="spellEnd"/>
            <w:r>
              <w:rPr>
                <w:rFonts w:cstheme="minorHAnsi"/>
              </w:rPr>
              <w:t xml:space="preserve"> 2021</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E1733D7" w14:textId="68E2F78D" w:rsidR="009B6ADD" w:rsidRPr="003A157A" w:rsidRDefault="009B6ADD" w:rsidP="000E03A8">
            <w:pPr>
              <w:ind w:left="306"/>
              <w:contextualSpacing/>
              <w:jc w:val="both"/>
              <w:rPr>
                <w:rFonts w:cstheme="minorHAnsi"/>
              </w:rPr>
            </w:pPr>
            <w:r w:rsidRPr="003A157A">
              <w:rPr>
                <w:rFonts w:cstheme="minorHAnsi"/>
              </w:rPr>
              <w:t> </w:t>
            </w:r>
          </w:p>
        </w:tc>
      </w:tr>
      <w:tr w:rsidR="009B6ADD" w:rsidRPr="003A157A" w14:paraId="5A7B8FE4"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DA9E5" w14:textId="77777777" w:rsidR="009B6ADD" w:rsidRPr="003A157A" w:rsidRDefault="009B6ADD" w:rsidP="000E03A8">
            <w:pPr>
              <w:contextualSpacing/>
              <w:jc w:val="both"/>
              <w:rPr>
                <w:rFonts w:cstheme="minorHAnsi"/>
              </w:rPr>
            </w:pPr>
            <w:r w:rsidRPr="003A157A">
              <w:rPr>
                <w:rFonts w:cstheme="minorHAnsi"/>
                <w:b/>
              </w:rPr>
              <w:t xml:space="preserve">LOT </w:t>
            </w:r>
            <w:proofErr w:type="spellStart"/>
            <w:r w:rsidRPr="003A157A">
              <w:rPr>
                <w:rFonts w:cstheme="minorHAnsi"/>
                <w:b/>
              </w:rPr>
              <w:t>Livrables</w:t>
            </w:r>
            <w:proofErr w:type="spellEnd"/>
            <w:r w:rsidRPr="003A157A">
              <w:rPr>
                <w:rFonts w:cstheme="minorHAnsi"/>
                <w:b/>
              </w:rPr>
              <w:t xml:space="preserve"> </w:t>
            </w:r>
            <w:proofErr w:type="gramStart"/>
            <w:r w:rsidRPr="003A157A">
              <w:rPr>
                <w:rFonts w:cstheme="minorHAnsi"/>
                <w:b/>
              </w:rPr>
              <w:t>1</w:t>
            </w:r>
            <w:r w:rsidRPr="003A157A">
              <w:rPr>
                <w:rFonts w:cstheme="minorHAnsi"/>
              </w:rPr>
              <w:t> :</w:t>
            </w:r>
            <w:proofErr w:type="gramEnd"/>
            <w:r w:rsidRPr="003A157A">
              <w:rPr>
                <w:rFonts w:cstheme="minorHAnsi"/>
              </w:rPr>
              <w:t xml:space="preserve"> Note </w:t>
            </w:r>
            <w:proofErr w:type="spellStart"/>
            <w:r w:rsidRPr="003A157A">
              <w:rPr>
                <w:rFonts w:cstheme="minorHAnsi"/>
              </w:rPr>
              <w:t>méthodologique</w:t>
            </w:r>
            <w:proofErr w:type="spellEnd"/>
            <w:r w:rsidRPr="003A157A">
              <w:rPr>
                <w:rFonts w:cstheme="minorHAnsi"/>
              </w:rPr>
              <w:t xml:space="preserve"> </w:t>
            </w:r>
          </w:p>
        </w:tc>
        <w:tc>
          <w:tcPr>
            <w:tcW w:w="1598" w:type="dxa"/>
            <w:tcBorders>
              <w:top w:val="nil"/>
              <w:left w:val="nil"/>
              <w:bottom w:val="single" w:sz="8" w:space="0" w:color="auto"/>
              <w:right w:val="single" w:sz="4" w:space="0" w:color="auto"/>
            </w:tcBorders>
          </w:tcPr>
          <w:p w14:paraId="038D4731" w14:textId="791574EF" w:rsidR="009B6ADD" w:rsidRPr="003A157A" w:rsidRDefault="009B6ADD" w:rsidP="000E03A8">
            <w:pPr>
              <w:ind w:left="306"/>
              <w:contextualSpacing/>
              <w:jc w:val="both"/>
              <w:rPr>
                <w:rFonts w:cstheme="minorHAnsi"/>
              </w:rPr>
            </w:pPr>
            <w:r>
              <w:rPr>
                <w:rFonts w:cstheme="minorHAnsi"/>
              </w:rPr>
              <w:t xml:space="preserve">2 </w:t>
            </w:r>
            <w:proofErr w:type="spellStart"/>
            <w:r>
              <w:rPr>
                <w:rFonts w:cstheme="minorHAnsi"/>
              </w:rPr>
              <w:t>jours</w:t>
            </w:r>
            <w:proofErr w:type="spellEnd"/>
            <w:r>
              <w:rPr>
                <w:rFonts w:cstheme="minorHAnsi"/>
              </w:rPr>
              <w:t xml:space="preserve">, </w:t>
            </w:r>
            <w:proofErr w:type="spellStart"/>
            <w:r>
              <w:rPr>
                <w:rFonts w:cstheme="minorHAnsi"/>
              </w:rPr>
              <w:t>Décembre</w:t>
            </w:r>
            <w:proofErr w:type="spellEnd"/>
            <w:r>
              <w:rPr>
                <w:rFonts w:cstheme="minorHAnsi"/>
              </w:rPr>
              <w:t xml:space="preserve"> 2021</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B4B8008" w14:textId="39F83EC8" w:rsidR="009B6ADD" w:rsidRPr="003A157A" w:rsidRDefault="009B6ADD" w:rsidP="000E03A8">
            <w:pPr>
              <w:ind w:left="306"/>
              <w:contextualSpacing/>
              <w:jc w:val="both"/>
              <w:rPr>
                <w:rFonts w:cstheme="minorHAnsi"/>
              </w:rPr>
            </w:pPr>
            <w:r w:rsidRPr="003A157A">
              <w:rPr>
                <w:rFonts w:cstheme="minorHAnsi"/>
              </w:rPr>
              <w:t>10%</w:t>
            </w:r>
          </w:p>
        </w:tc>
      </w:tr>
      <w:tr w:rsidR="009B6ADD" w:rsidRPr="00697327" w14:paraId="2A966548"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C07A0" w14:textId="32505D5F" w:rsidR="009B6ADD" w:rsidRPr="003A157A" w:rsidRDefault="009B6ADD" w:rsidP="000E03A8">
            <w:pPr>
              <w:pStyle w:val="ListParagraph"/>
              <w:autoSpaceDE w:val="0"/>
              <w:autoSpaceDN w:val="0"/>
              <w:adjustRightInd w:val="0"/>
              <w:spacing w:before="120" w:after="120"/>
              <w:ind w:left="0"/>
              <w:jc w:val="both"/>
              <w:rPr>
                <w:rFonts w:cstheme="minorHAnsi"/>
                <w:lang w:val="fr-FR"/>
              </w:rPr>
            </w:pPr>
            <w:r w:rsidRPr="003A157A">
              <w:rPr>
                <w:rFonts w:cstheme="minorHAnsi"/>
                <w:b/>
                <w:lang w:val="fr-FR"/>
              </w:rPr>
              <w:t xml:space="preserve">Une note méthodologique </w:t>
            </w:r>
            <w:r w:rsidRPr="003A157A">
              <w:rPr>
                <w:rFonts w:cstheme="minorHAnsi"/>
                <w:lang w:val="fr-FR"/>
              </w:rPr>
              <w:t>en français</w:t>
            </w:r>
            <w:r w:rsidRPr="003A157A">
              <w:rPr>
                <w:rFonts w:cstheme="minorHAnsi"/>
                <w:b/>
                <w:lang w:val="fr-FR"/>
              </w:rPr>
              <w:t xml:space="preserve"> </w:t>
            </w:r>
            <w:r w:rsidRPr="003A157A">
              <w:rPr>
                <w:rFonts w:cstheme="minorHAnsi"/>
                <w:lang w:val="fr-FR"/>
              </w:rPr>
              <w:t xml:space="preserve">d’environ </w:t>
            </w:r>
            <w:r>
              <w:rPr>
                <w:rFonts w:cstheme="minorHAnsi"/>
                <w:lang w:val="fr-FR"/>
              </w:rPr>
              <w:t>5</w:t>
            </w:r>
            <w:r w:rsidRPr="003A157A">
              <w:rPr>
                <w:rFonts w:cstheme="minorHAnsi"/>
                <w:lang w:val="fr-FR"/>
              </w:rPr>
              <w:t xml:space="preserve"> pages maximum</w:t>
            </w:r>
            <w:r w:rsidRPr="003A157A">
              <w:rPr>
                <w:rFonts w:cstheme="minorHAnsi"/>
                <w:b/>
                <w:lang w:val="fr-FR"/>
              </w:rPr>
              <w:t xml:space="preserve"> </w:t>
            </w:r>
            <w:r w:rsidRPr="003A157A">
              <w:rPr>
                <w:rFonts w:cstheme="minorHAnsi"/>
                <w:lang w:val="fr-FR"/>
              </w:rPr>
              <w:t xml:space="preserve">présentant en détail la méthodologie adoptée, la justification des choix méthodologiques, les outils de </w:t>
            </w:r>
            <w:r w:rsidRPr="003A157A">
              <w:rPr>
                <w:rFonts w:cstheme="minorHAnsi"/>
                <w:lang w:val="fr-FR"/>
              </w:rPr>
              <w:lastRenderedPageBreak/>
              <w:t>collecte et d’analyse des données</w:t>
            </w:r>
            <w:r>
              <w:rPr>
                <w:rFonts w:cstheme="minorHAnsi"/>
                <w:lang w:val="fr-FR"/>
              </w:rPr>
              <w:t>,</w:t>
            </w:r>
            <w:r w:rsidRPr="00B43EFF">
              <w:rPr>
                <w:rFonts w:cs="Times New Roman"/>
                <w:lang w:val="fr-FR"/>
              </w:rPr>
              <w:t xml:space="preserve"> le planning de la mission et un calendrier prévisionnel des livrables</w:t>
            </w:r>
            <w:r w:rsidRPr="003A157A">
              <w:rPr>
                <w:rFonts w:cstheme="minorHAnsi"/>
                <w:lang w:val="fr-FR"/>
              </w:rPr>
              <w:t>…</w:t>
            </w:r>
          </w:p>
        </w:tc>
        <w:tc>
          <w:tcPr>
            <w:tcW w:w="1598" w:type="dxa"/>
            <w:tcBorders>
              <w:top w:val="nil"/>
              <w:left w:val="nil"/>
              <w:bottom w:val="single" w:sz="8" w:space="0" w:color="auto"/>
              <w:right w:val="single" w:sz="4" w:space="0" w:color="auto"/>
            </w:tcBorders>
          </w:tcPr>
          <w:p w14:paraId="7A5C3ED8"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07E5BD9" w14:textId="5DF0CFAE" w:rsidR="009B6ADD" w:rsidRPr="003A157A" w:rsidRDefault="009B6ADD" w:rsidP="000E03A8">
            <w:pPr>
              <w:spacing w:before="240"/>
              <w:ind w:left="306"/>
              <w:contextualSpacing/>
              <w:jc w:val="both"/>
              <w:rPr>
                <w:rFonts w:cstheme="minorHAnsi"/>
                <w:lang w:val="fr-FR"/>
              </w:rPr>
            </w:pPr>
            <w:r w:rsidRPr="003A157A">
              <w:rPr>
                <w:rFonts w:cstheme="minorHAnsi"/>
                <w:lang w:val="fr-FR"/>
              </w:rPr>
              <w:t> </w:t>
            </w:r>
          </w:p>
        </w:tc>
      </w:tr>
      <w:tr w:rsidR="009B6ADD" w:rsidRPr="003A157A" w14:paraId="69A11F3F"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F6E778" w14:textId="3C2B5B7D" w:rsidR="009B6ADD" w:rsidRPr="003A157A" w:rsidRDefault="009B6ADD" w:rsidP="000E03A8">
            <w:pPr>
              <w:contextualSpacing/>
              <w:jc w:val="both"/>
              <w:rPr>
                <w:rFonts w:cstheme="minorHAnsi"/>
                <w:b/>
                <w:lang w:val="fr-FR"/>
              </w:rPr>
            </w:pPr>
            <w:r w:rsidRPr="003A157A">
              <w:rPr>
                <w:rFonts w:cstheme="minorHAnsi"/>
                <w:b/>
                <w:lang w:val="fr-FR"/>
              </w:rPr>
              <w:t xml:space="preserve">LOT Livrables 2 : </w:t>
            </w:r>
            <w:r w:rsidRPr="003A157A">
              <w:rPr>
                <w:rFonts w:cstheme="minorHAnsi"/>
                <w:lang w:val="fr-FR"/>
              </w:rPr>
              <w:t>Rapport de la revue de la littérature</w:t>
            </w:r>
          </w:p>
        </w:tc>
        <w:tc>
          <w:tcPr>
            <w:tcW w:w="1598" w:type="dxa"/>
            <w:tcBorders>
              <w:top w:val="nil"/>
              <w:left w:val="nil"/>
              <w:bottom w:val="single" w:sz="8" w:space="0" w:color="auto"/>
              <w:right w:val="single" w:sz="4" w:space="0" w:color="auto"/>
            </w:tcBorders>
          </w:tcPr>
          <w:p w14:paraId="21925138" w14:textId="6CE33569" w:rsidR="009B6ADD" w:rsidRPr="009B6ADD" w:rsidRDefault="009B6ADD" w:rsidP="000E03A8">
            <w:pPr>
              <w:ind w:left="306"/>
              <w:contextualSpacing/>
              <w:jc w:val="both"/>
              <w:rPr>
                <w:rFonts w:cstheme="minorHAnsi"/>
                <w:lang w:val="fr-FR"/>
              </w:rPr>
            </w:pPr>
            <w:r>
              <w:rPr>
                <w:rFonts w:cstheme="minorHAnsi"/>
                <w:lang w:val="fr-FR"/>
              </w:rPr>
              <w:t>3 jours, janvier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2D17C79" w14:textId="3FE3CF3E" w:rsidR="009B6ADD" w:rsidRPr="003A157A" w:rsidRDefault="009B6ADD" w:rsidP="000E03A8">
            <w:pPr>
              <w:ind w:left="306"/>
              <w:contextualSpacing/>
              <w:jc w:val="both"/>
              <w:rPr>
                <w:rFonts w:cstheme="minorHAnsi"/>
                <w:lang w:val="fr-FR"/>
              </w:rPr>
            </w:pPr>
            <w:r w:rsidRPr="003A157A">
              <w:rPr>
                <w:rFonts w:cstheme="minorHAnsi"/>
              </w:rPr>
              <w:t>20%</w:t>
            </w:r>
          </w:p>
        </w:tc>
      </w:tr>
      <w:tr w:rsidR="009B6ADD" w:rsidRPr="00697327" w14:paraId="0DB83213"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1612BE" w14:textId="6C0BC582" w:rsidR="009B6ADD" w:rsidRPr="003A157A" w:rsidRDefault="009B6ADD" w:rsidP="00667994">
            <w:pPr>
              <w:autoSpaceDE w:val="0"/>
              <w:autoSpaceDN w:val="0"/>
              <w:adjustRightInd w:val="0"/>
              <w:spacing w:before="120" w:after="120"/>
              <w:jc w:val="both"/>
              <w:rPr>
                <w:rFonts w:cstheme="minorHAnsi"/>
                <w:bCs/>
                <w:lang w:val="fr-FR"/>
              </w:rPr>
            </w:pPr>
            <w:r w:rsidRPr="003A157A">
              <w:rPr>
                <w:rFonts w:cstheme="minorHAnsi"/>
                <w:b/>
                <w:lang w:val="fr-FR"/>
              </w:rPr>
              <w:t xml:space="preserve">Un rapport de la revue de la littérature </w:t>
            </w:r>
            <w:r w:rsidRPr="003A157A">
              <w:rPr>
                <w:rFonts w:cstheme="minorHAnsi"/>
                <w:bCs/>
                <w:lang w:val="fr-FR"/>
              </w:rPr>
              <w:t>avec un benchmark de bonnes pratiques et expériences réussies internationales</w:t>
            </w:r>
            <w:r w:rsidRPr="003A157A">
              <w:rPr>
                <w:rFonts w:cstheme="minorHAnsi"/>
                <w:lang w:val="fr-FR"/>
              </w:rPr>
              <w:t xml:space="preserve"> </w:t>
            </w:r>
          </w:p>
        </w:tc>
        <w:tc>
          <w:tcPr>
            <w:tcW w:w="1598" w:type="dxa"/>
            <w:tcBorders>
              <w:top w:val="nil"/>
              <w:left w:val="nil"/>
              <w:bottom w:val="single" w:sz="8" w:space="0" w:color="auto"/>
              <w:right w:val="single" w:sz="4" w:space="0" w:color="auto"/>
            </w:tcBorders>
          </w:tcPr>
          <w:p w14:paraId="690FE2DB" w14:textId="77777777" w:rsidR="009B6ADD" w:rsidRPr="003A157A" w:rsidRDefault="009B6ADD" w:rsidP="000E03A8">
            <w:pPr>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3D7B83" w14:textId="0542A711" w:rsidR="009B6ADD" w:rsidRPr="003A157A" w:rsidRDefault="009B6ADD" w:rsidP="000E03A8">
            <w:pPr>
              <w:ind w:left="306"/>
              <w:contextualSpacing/>
              <w:jc w:val="both"/>
              <w:rPr>
                <w:rFonts w:cstheme="minorHAnsi"/>
                <w:lang w:val="fr-FR"/>
              </w:rPr>
            </w:pPr>
          </w:p>
        </w:tc>
      </w:tr>
      <w:tr w:rsidR="009B6ADD" w:rsidRPr="003A157A" w14:paraId="3065D2CB"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83FA4" w14:textId="385FAB6A" w:rsidR="009B6ADD" w:rsidRPr="003A157A" w:rsidRDefault="009B6ADD" w:rsidP="000E03A8">
            <w:pPr>
              <w:contextualSpacing/>
              <w:jc w:val="both"/>
              <w:rPr>
                <w:rFonts w:cstheme="minorHAnsi"/>
                <w:lang w:val="fr-FR"/>
              </w:rPr>
            </w:pPr>
            <w:r w:rsidRPr="003A157A">
              <w:rPr>
                <w:rFonts w:cstheme="minorHAnsi"/>
                <w:b/>
                <w:lang w:val="fr-FR"/>
              </w:rPr>
              <w:t>LOT Livrables 3</w:t>
            </w:r>
            <w:r>
              <w:rPr>
                <w:rFonts w:cstheme="minorHAnsi"/>
                <w:lang w:val="fr-FR"/>
              </w:rPr>
              <w:t xml:space="preserve"> : </w:t>
            </w:r>
            <w:r w:rsidRPr="00BF7B23">
              <w:rPr>
                <w:rFonts w:cs="Times New Roman"/>
                <w:b/>
                <w:lang w:val="fr-FR"/>
              </w:rPr>
              <w:t>La version préliminaire des deux kits de formation</w:t>
            </w:r>
            <w:r w:rsidRPr="00133515">
              <w:rPr>
                <w:rFonts w:cs="Times New Roman"/>
                <w:b/>
                <w:lang w:val="fr-FR"/>
              </w:rPr>
              <w:t xml:space="preserve"> </w:t>
            </w:r>
            <w:r>
              <w:rPr>
                <w:rFonts w:cs="Calibri"/>
                <w:lang w:val="fr-FR"/>
              </w:rPr>
              <w:t>comme suit :</w:t>
            </w:r>
          </w:p>
        </w:tc>
        <w:tc>
          <w:tcPr>
            <w:tcW w:w="1598" w:type="dxa"/>
            <w:tcBorders>
              <w:top w:val="nil"/>
              <w:left w:val="nil"/>
              <w:bottom w:val="single" w:sz="8" w:space="0" w:color="auto"/>
              <w:right w:val="single" w:sz="4" w:space="0" w:color="auto"/>
            </w:tcBorders>
          </w:tcPr>
          <w:p w14:paraId="1C8F105E" w14:textId="04289706" w:rsidR="009B6ADD" w:rsidRPr="009B6ADD" w:rsidRDefault="009B6ADD" w:rsidP="000E03A8">
            <w:pPr>
              <w:ind w:left="306"/>
              <w:contextualSpacing/>
              <w:jc w:val="both"/>
              <w:rPr>
                <w:rFonts w:cstheme="minorHAnsi"/>
                <w:lang w:val="fr-FR"/>
              </w:rPr>
            </w:pPr>
            <w:r>
              <w:rPr>
                <w:rFonts w:cstheme="minorHAnsi"/>
                <w:lang w:val="fr-FR"/>
              </w:rPr>
              <w:t>5 jours, janvier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42CA940" w14:textId="217EE7CB" w:rsidR="009B6ADD" w:rsidRPr="003A157A" w:rsidRDefault="009B6ADD" w:rsidP="000E03A8">
            <w:pPr>
              <w:ind w:left="306"/>
              <w:contextualSpacing/>
              <w:jc w:val="both"/>
              <w:rPr>
                <w:rFonts w:cstheme="minorHAnsi"/>
              </w:rPr>
            </w:pPr>
            <w:r>
              <w:rPr>
                <w:rFonts w:cstheme="minorHAnsi"/>
              </w:rPr>
              <w:t>3</w:t>
            </w:r>
            <w:r w:rsidRPr="003A157A">
              <w:rPr>
                <w:rFonts w:cstheme="minorHAnsi"/>
              </w:rPr>
              <w:t>0%</w:t>
            </w:r>
          </w:p>
        </w:tc>
      </w:tr>
      <w:tr w:rsidR="009B6ADD" w:rsidRPr="00697327" w14:paraId="07040166"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A1A1C"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0F6857F3"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3102CC76" w14:textId="77777777" w:rsidR="009B6ADD" w:rsidRPr="00F81C42"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0A1999D9" w14:textId="0F6A9A05" w:rsidR="009B6ADD" w:rsidRPr="00BD1239"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tc>
        <w:tc>
          <w:tcPr>
            <w:tcW w:w="1598" w:type="dxa"/>
            <w:tcBorders>
              <w:top w:val="nil"/>
              <w:left w:val="nil"/>
              <w:bottom w:val="single" w:sz="8" w:space="0" w:color="auto"/>
              <w:right w:val="single" w:sz="4" w:space="0" w:color="auto"/>
            </w:tcBorders>
          </w:tcPr>
          <w:p w14:paraId="6CC493A9"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4E2591" w14:textId="3773B3C6" w:rsidR="009B6ADD" w:rsidRPr="003A157A" w:rsidRDefault="009B6ADD" w:rsidP="000E03A8">
            <w:pPr>
              <w:spacing w:before="240"/>
              <w:ind w:left="306"/>
              <w:contextualSpacing/>
              <w:jc w:val="both"/>
              <w:rPr>
                <w:rFonts w:cstheme="minorHAnsi"/>
                <w:lang w:val="fr-FR"/>
              </w:rPr>
            </w:pPr>
          </w:p>
        </w:tc>
      </w:tr>
      <w:tr w:rsidR="009B6ADD" w:rsidRPr="003A157A" w14:paraId="5EC6A62B"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B651BD" w14:textId="0D3E6D30" w:rsidR="009B6ADD" w:rsidRPr="003A157A" w:rsidRDefault="009B6ADD" w:rsidP="000E03A8">
            <w:pPr>
              <w:pStyle w:val="ListParagraph"/>
              <w:ind w:left="0"/>
              <w:jc w:val="both"/>
              <w:rPr>
                <w:rFonts w:cstheme="minorHAnsi"/>
                <w:lang w:val="fr-FR"/>
              </w:rPr>
            </w:pPr>
            <w:r w:rsidRPr="003A157A">
              <w:rPr>
                <w:rFonts w:cstheme="minorHAnsi"/>
                <w:b/>
                <w:lang w:val="fr-FR"/>
              </w:rPr>
              <w:t>LOT Livrables 4</w:t>
            </w:r>
            <w:r>
              <w:rPr>
                <w:rFonts w:cstheme="minorHAnsi"/>
                <w:lang w:val="fr-FR"/>
              </w:rPr>
              <w:t xml:space="preserve"> : </w:t>
            </w:r>
            <w:r w:rsidRPr="00BF7B23">
              <w:rPr>
                <w:rFonts w:cs="Times New Roman"/>
                <w:b/>
                <w:lang w:val="fr-FR"/>
              </w:rPr>
              <w:t>La version finalisée des deux kits de formation</w:t>
            </w:r>
            <w:r>
              <w:rPr>
                <w:rFonts w:ascii="Georgia" w:hAnsi="Georgia" w:cs="Times New Roman"/>
                <w:lang w:val="fr-FR" w:eastAsia="fr-FR"/>
              </w:rPr>
              <w:t xml:space="preserve"> </w:t>
            </w:r>
            <w:r>
              <w:rPr>
                <w:rFonts w:cstheme="minorHAnsi"/>
                <w:lang w:val="fr-FR"/>
              </w:rPr>
              <w:t>comme suit :</w:t>
            </w:r>
          </w:p>
        </w:tc>
        <w:tc>
          <w:tcPr>
            <w:tcW w:w="1598" w:type="dxa"/>
            <w:tcBorders>
              <w:top w:val="nil"/>
              <w:left w:val="nil"/>
              <w:bottom w:val="single" w:sz="8" w:space="0" w:color="auto"/>
              <w:right w:val="single" w:sz="4" w:space="0" w:color="auto"/>
            </w:tcBorders>
          </w:tcPr>
          <w:p w14:paraId="595D92A4" w14:textId="59EF2E24" w:rsidR="009B6ADD" w:rsidRPr="009B6ADD" w:rsidRDefault="009B6ADD" w:rsidP="000E03A8">
            <w:pPr>
              <w:ind w:left="306"/>
              <w:contextualSpacing/>
              <w:jc w:val="both"/>
              <w:rPr>
                <w:rFonts w:cstheme="minorHAnsi"/>
                <w:lang w:val="fr-FR"/>
              </w:rPr>
            </w:pPr>
            <w:r>
              <w:rPr>
                <w:rFonts w:cstheme="minorHAnsi"/>
                <w:lang w:val="fr-FR"/>
              </w:rPr>
              <w:t>4 jours, février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3F73C07" w14:textId="4C61A757" w:rsidR="009B6ADD" w:rsidRPr="003A157A" w:rsidRDefault="009B6ADD" w:rsidP="000E03A8">
            <w:pPr>
              <w:ind w:left="306"/>
              <w:contextualSpacing/>
              <w:jc w:val="both"/>
              <w:rPr>
                <w:rFonts w:cstheme="minorHAnsi"/>
              </w:rPr>
            </w:pPr>
            <w:r w:rsidRPr="003A157A">
              <w:rPr>
                <w:rFonts w:cstheme="minorHAnsi"/>
              </w:rPr>
              <w:t>30%</w:t>
            </w:r>
          </w:p>
        </w:tc>
      </w:tr>
      <w:tr w:rsidR="009B6ADD" w:rsidRPr="00697327" w14:paraId="44DDBAA4"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695A6D"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5BBEEF39"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46EC4DF3" w14:textId="77777777" w:rsidR="009B6ADD" w:rsidRPr="00F81C42"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09A3676" w14:textId="3831A135" w:rsidR="009B6ADD" w:rsidRPr="00BD1239"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tc>
        <w:tc>
          <w:tcPr>
            <w:tcW w:w="1598" w:type="dxa"/>
            <w:tcBorders>
              <w:top w:val="nil"/>
              <w:left w:val="nil"/>
              <w:bottom w:val="single" w:sz="8" w:space="0" w:color="auto"/>
              <w:right w:val="single" w:sz="4" w:space="0" w:color="auto"/>
            </w:tcBorders>
          </w:tcPr>
          <w:p w14:paraId="32E8B843"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DCE77FC" w14:textId="75CF75D7" w:rsidR="009B6ADD" w:rsidRPr="003A157A" w:rsidRDefault="009B6ADD" w:rsidP="000E03A8">
            <w:pPr>
              <w:spacing w:before="240"/>
              <w:ind w:left="306"/>
              <w:contextualSpacing/>
              <w:jc w:val="both"/>
              <w:rPr>
                <w:rFonts w:cstheme="minorHAnsi"/>
                <w:lang w:val="fr-FR"/>
              </w:rPr>
            </w:pPr>
          </w:p>
        </w:tc>
      </w:tr>
      <w:tr w:rsidR="009B6ADD" w:rsidRPr="00977D95" w14:paraId="419906B2"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539B34" w14:textId="1C1FE891" w:rsidR="009B6ADD" w:rsidRPr="006B2DD5" w:rsidRDefault="009B6ADD" w:rsidP="006B2DD5">
            <w:pPr>
              <w:rPr>
                <w:rFonts w:cs="Times New Roman"/>
                <w:bCs/>
                <w:lang w:val="fr-FR"/>
              </w:rPr>
            </w:pPr>
            <w:r w:rsidRPr="003A157A">
              <w:rPr>
                <w:rFonts w:cstheme="minorHAnsi"/>
                <w:b/>
                <w:lang w:val="fr-FR"/>
              </w:rPr>
              <w:t xml:space="preserve">LOT Livrables </w:t>
            </w:r>
            <w:r>
              <w:rPr>
                <w:rFonts w:cstheme="minorHAnsi"/>
                <w:b/>
                <w:lang w:val="fr-FR"/>
              </w:rPr>
              <w:t xml:space="preserve">5 </w:t>
            </w:r>
            <w:r>
              <w:rPr>
                <w:rFonts w:cstheme="minorHAnsi"/>
                <w:lang w:val="fr-FR"/>
              </w:rPr>
              <w:t xml:space="preserve">: </w:t>
            </w:r>
            <w:r w:rsidRPr="006B2DD5">
              <w:rPr>
                <w:rFonts w:cs="Times New Roman"/>
                <w:b/>
                <w:lang w:val="fr-FR"/>
              </w:rPr>
              <w:t>Le rapport global de mission</w:t>
            </w:r>
            <w:r w:rsidRPr="006B2DD5">
              <w:rPr>
                <w:rFonts w:cs="Times New Roman"/>
                <w:bCs/>
                <w:lang w:val="fr-FR"/>
              </w:rPr>
              <w:t xml:space="preserve"> </w:t>
            </w:r>
          </w:p>
        </w:tc>
        <w:tc>
          <w:tcPr>
            <w:tcW w:w="1598" w:type="dxa"/>
            <w:tcBorders>
              <w:top w:val="nil"/>
              <w:left w:val="nil"/>
              <w:bottom w:val="single" w:sz="8" w:space="0" w:color="auto"/>
              <w:right w:val="single" w:sz="4" w:space="0" w:color="auto"/>
            </w:tcBorders>
          </w:tcPr>
          <w:p w14:paraId="6477744D" w14:textId="293E931F" w:rsidR="009B6ADD" w:rsidRPr="006B2DD5" w:rsidRDefault="009B6ADD" w:rsidP="006B2DD5">
            <w:pPr>
              <w:ind w:left="306"/>
              <w:contextualSpacing/>
              <w:jc w:val="both"/>
              <w:rPr>
                <w:rFonts w:cs="Times New Roman"/>
                <w:bCs/>
                <w:lang w:val="fr-FR"/>
              </w:rPr>
            </w:pPr>
            <w:r>
              <w:rPr>
                <w:rFonts w:cs="Times New Roman"/>
                <w:bCs/>
                <w:lang w:val="fr-FR"/>
              </w:rPr>
              <w:t>1 jours, février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175DC81" w14:textId="24F19F42" w:rsidR="009B6ADD" w:rsidRPr="003A157A" w:rsidRDefault="009B6ADD" w:rsidP="006B2DD5">
            <w:pPr>
              <w:ind w:left="306"/>
              <w:contextualSpacing/>
              <w:jc w:val="both"/>
              <w:rPr>
                <w:rFonts w:cstheme="minorHAnsi"/>
                <w:lang w:val="fr-FR"/>
              </w:rPr>
            </w:pPr>
            <w:r w:rsidRPr="006B2DD5">
              <w:rPr>
                <w:rFonts w:cs="Times New Roman"/>
                <w:bCs/>
                <w:lang w:val="fr-FR"/>
              </w:rPr>
              <w:t>10%</w:t>
            </w:r>
          </w:p>
        </w:tc>
      </w:tr>
      <w:tr w:rsidR="009B6ADD" w:rsidRPr="00697327" w14:paraId="02309D3F"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08ACB" w14:textId="0F29CA89" w:rsidR="009B6ADD" w:rsidRPr="003A157A" w:rsidRDefault="009B6ADD" w:rsidP="006B2DD5">
            <w:pPr>
              <w:rPr>
                <w:rFonts w:cstheme="minorHAnsi"/>
                <w:b/>
                <w:lang w:val="fr-FR"/>
              </w:rPr>
            </w:pPr>
            <w:proofErr w:type="gramStart"/>
            <w:r w:rsidRPr="006B2DD5">
              <w:rPr>
                <w:rFonts w:cs="Times New Roman"/>
                <w:bCs/>
                <w:lang w:val="fr-FR"/>
              </w:rPr>
              <w:t>contenant</w:t>
            </w:r>
            <w:proofErr w:type="gramEnd"/>
            <w:r w:rsidRPr="006B2DD5">
              <w:rPr>
                <w:rFonts w:cs="Times New Roman"/>
                <w:bCs/>
                <w:lang w:val="fr-FR"/>
              </w:rPr>
              <w:t xml:space="preserve"> les procès-verbaux des réunions organisées.</w:t>
            </w:r>
          </w:p>
        </w:tc>
        <w:tc>
          <w:tcPr>
            <w:tcW w:w="1598" w:type="dxa"/>
            <w:tcBorders>
              <w:top w:val="nil"/>
              <w:left w:val="nil"/>
              <w:bottom w:val="single" w:sz="8" w:space="0" w:color="auto"/>
              <w:right w:val="single" w:sz="4" w:space="0" w:color="auto"/>
            </w:tcBorders>
          </w:tcPr>
          <w:p w14:paraId="32C2EA3B" w14:textId="77777777" w:rsidR="009B6ADD" w:rsidRPr="006B2DD5" w:rsidRDefault="009B6ADD" w:rsidP="006B2DD5">
            <w:pPr>
              <w:ind w:left="306"/>
              <w:contextualSpacing/>
              <w:jc w:val="both"/>
              <w:rPr>
                <w:rFonts w:cs="Times New Roman"/>
                <w:bCs/>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C696410" w14:textId="55B59932" w:rsidR="009B6ADD" w:rsidRPr="006B2DD5" w:rsidRDefault="009B6ADD" w:rsidP="006B2DD5">
            <w:pPr>
              <w:ind w:left="306"/>
              <w:contextualSpacing/>
              <w:jc w:val="both"/>
              <w:rPr>
                <w:rFonts w:cs="Times New Roman"/>
                <w:bCs/>
                <w:lang w:val="fr-FR"/>
              </w:rPr>
            </w:pPr>
          </w:p>
        </w:tc>
      </w:tr>
      <w:tr w:rsidR="009B6ADD" w:rsidRPr="003A157A" w14:paraId="59F3CF08" w14:textId="77777777" w:rsidTr="009B6ADD">
        <w:trPr>
          <w:trHeight w:val="150"/>
        </w:trPr>
        <w:tc>
          <w:tcPr>
            <w:tcW w:w="5875"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94DF2FC" w14:textId="77777777" w:rsidR="009B6ADD" w:rsidRPr="003A157A" w:rsidRDefault="009B6ADD" w:rsidP="000E03A8">
            <w:pPr>
              <w:ind w:left="306"/>
              <w:contextualSpacing/>
              <w:jc w:val="both"/>
              <w:rPr>
                <w:rFonts w:cstheme="minorHAnsi"/>
                <w:b/>
                <w:bCs/>
              </w:rPr>
            </w:pPr>
            <w:r w:rsidRPr="003A157A">
              <w:rPr>
                <w:rFonts w:cstheme="minorHAnsi"/>
                <w:b/>
                <w:bCs/>
              </w:rPr>
              <w:t>TOTAL</w:t>
            </w:r>
          </w:p>
        </w:tc>
        <w:tc>
          <w:tcPr>
            <w:tcW w:w="1598" w:type="dxa"/>
            <w:tcBorders>
              <w:top w:val="nil"/>
              <w:left w:val="nil"/>
              <w:bottom w:val="single" w:sz="8" w:space="0" w:color="auto"/>
              <w:right w:val="single" w:sz="4" w:space="0" w:color="auto"/>
            </w:tcBorders>
            <w:shd w:val="clear" w:color="auto" w:fill="C6D9F1"/>
          </w:tcPr>
          <w:p w14:paraId="026C11B5" w14:textId="77777777" w:rsidR="009B6ADD" w:rsidRPr="003A157A" w:rsidRDefault="009B6ADD" w:rsidP="000E03A8">
            <w:pPr>
              <w:ind w:left="306"/>
              <w:contextualSpacing/>
              <w:jc w:val="both"/>
              <w:rPr>
                <w:rFonts w:cstheme="minorHAnsi"/>
                <w:b/>
                <w:bCs/>
              </w:rPr>
            </w:pPr>
          </w:p>
        </w:tc>
        <w:tc>
          <w:tcPr>
            <w:tcW w:w="1598" w:type="dxa"/>
            <w:tcBorders>
              <w:top w:val="nil"/>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5FD06D09" w14:textId="7AA0B5D1" w:rsidR="009B6ADD" w:rsidRPr="003A157A" w:rsidRDefault="009B6ADD" w:rsidP="000E03A8">
            <w:pPr>
              <w:ind w:left="306"/>
              <w:contextualSpacing/>
              <w:jc w:val="both"/>
              <w:rPr>
                <w:rFonts w:cstheme="minorHAnsi"/>
                <w:b/>
                <w:bCs/>
              </w:rPr>
            </w:pPr>
            <w:r w:rsidRPr="003A157A">
              <w:rPr>
                <w:rFonts w:cstheme="minorHAnsi"/>
                <w:b/>
                <w:bCs/>
              </w:rPr>
              <w:t>100%</w:t>
            </w:r>
          </w:p>
        </w:tc>
      </w:tr>
    </w:tbl>
    <w:p w14:paraId="2A7D3520" w14:textId="2D6CDD1D" w:rsidR="00E10DAE" w:rsidRPr="003A157A" w:rsidRDefault="00E10DAE" w:rsidP="00E10DAE">
      <w:pPr>
        <w:rPr>
          <w:rFonts w:cstheme="minorHAnsi"/>
          <w:lang w:val="fr-FR"/>
        </w:rPr>
      </w:pPr>
    </w:p>
    <w:p w14:paraId="5B287B6C" w14:textId="77777777" w:rsidR="003A157A" w:rsidRDefault="003A157A">
      <w:pPr>
        <w:rPr>
          <w:rFonts w:ascii="Calibri" w:eastAsia="Times New Roman" w:hAnsi="Calibri" w:cs="Arial"/>
          <w:b/>
          <w:color w:val="0070C0"/>
          <w:sz w:val="28"/>
          <w:lang w:val="fr-FR"/>
        </w:rPr>
      </w:pPr>
      <w:r w:rsidRPr="00C93F4C">
        <w:rPr>
          <w:lang w:val="fr-FR"/>
        </w:rPr>
        <w:br w:type="page"/>
      </w:r>
    </w:p>
    <w:p w14:paraId="3CC9E4A8" w14:textId="2644C37B" w:rsidR="001A0830" w:rsidRPr="005C55D6" w:rsidRDefault="001A0830" w:rsidP="005C55D6">
      <w:pPr>
        <w:pStyle w:val="Heading1"/>
        <w:rPr>
          <w:snapToGrid/>
        </w:rPr>
      </w:pPr>
      <w:bookmarkStart w:id="7" w:name="_Toc510629120"/>
      <w:r w:rsidRPr="005C55D6">
        <w:rPr>
          <w:snapToGrid/>
        </w:rPr>
        <w:lastRenderedPageBreak/>
        <w:t>Profil du</w:t>
      </w:r>
      <w:r w:rsidR="00135C81">
        <w:rPr>
          <w:snapToGrid/>
        </w:rPr>
        <w:t>/de la</w:t>
      </w:r>
      <w:r w:rsidRPr="005C55D6">
        <w:rPr>
          <w:snapToGrid/>
        </w:rPr>
        <w:t xml:space="preserve"> consultante)</w:t>
      </w:r>
      <w:bookmarkEnd w:id="7"/>
    </w:p>
    <w:p w14:paraId="6CB8E3A3" w14:textId="052F5C0B" w:rsidR="001A0830" w:rsidRPr="00AA2BBC" w:rsidRDefault="001A0830" w:rsidP="00AA2BBC">
      <w:pPr>
        <w:jc w:val="both"/>
        <w:rPr>
          <w:rFonts w:cs="Calibri"/>
          <w:lang w:val="fr-FR"/>
        </w:rPr>
      </w:pPr>
      <w:r w:rsidRPr="001A5F18">
        <w:rPr>
          <w:rFonts w:cs="Calibri"/>
          <w:lang w:val="fr-FR"/>
        </w:rPr>
        <w:t>Cette consultation s’adresse aux consultants</w:t>
      </w:r>
      <w:r>
        <w:rPr>
          <w:rFonts w:cs="Calibri"/>
          <w:lang w:val="fr-FR"/>
        </w:rPr>
        <w:t xml:space="preserve"> (es)</w:t>
      </w:r>
      <w:r w:rsidR="00413F7D">
        <w:rPr>
          <w:rFonts w:cs="Calibri"/>
          <w:lang w:val="fr-FR"/>
        </w:rPr>
        <w:t xml:space="preserve"> Individuel (les)</w:t>
      </w:r>
      <w:r w:rsidRPr="001A5F18">
        <w:rPr>
          <w:rFonts w:cs="Calibri"/>
          <w:lang w:val="fr-FR"/>
        </w:rPr>
        <w:t xml:space="preserve"> </w:t>
      </w:r>
      <w:r w:rsidR="003A157A">
        <w:rPr>
          <w:rFonts w:cs="Calibri"/>
          <w:lang w:val="fr-FR"/>
        </w:rPr>
        <w:t>nationaux</w:t>
      </w:r>
      <w:r w:rsidRPr="001A5F18">
        <w:rPr>
          <w:rFonts w:cs="Calibri"/>
          <w:lang w:val="fr-FR"/>
        </w:rPr>
        <w:t>. Le</w:t>
      </w:r>
      <w:r w:rsidR="00413F7D">
        <w:rPr>
          <w:rFonts w:cs="Calibri"/>
          <w:lang w:val="fr-FR"/>
        </w:rPr>
        <w:t>/la</w:t>
      </w:r>
      <w:r w:rsidR="00423978">
        <w:rPr>
          <w:rFonts w:cs="Calibri"/>
          <w:lang w:val="fr-FR"/>
        </w:rPr>
        <w:t xml:space="preserve"> consultant</w:t>
      </w:r>
      <w:r w:rsidR="00413F7D">
        <w:rPr>
          <w:rFonts w:cs="Calibri"/>
          <w:lang w:val="fr-FR"/>
        </w:rPr>
        <w:t xml:space="preserve"> (e)</w:t>
      </w:r>
      <w:r w:rsidR="00423978">
        <w:rPr>
          <w:rFonts w:cs="Calibri"/>
          <w:lang w:val="fr-FR"/>
        </w:rPr>
        <w:t xml:space="preserve"> </w:t>
      </w:r>
      <w:r w:rsidRPr="001A5F18">
        <w:rPr>
          <w:rFonts w:cs="Calibri"/>
          <w:lang w:val="fr-FR"/>
        </w:rPr>
        <w:t>devr</w:t>
      </w:r>
      <w:r w:rsidR="007647E9">
        <w:rPr>
          <w:rFonts w:cs="Calibri"/>
          <w:lang w:val="fr-FR"/>
        </w:rPr>
        <w:t xml:space="preserve">a </w:t>
      </w:r>
      <w:r w:rsidRPr="00187AB7">
        <w:rPr>
          <w:rFonts w:cs="Calibri"/>
          <w:lang w:val="fr-FR"/>
        </w:rPr>
        <w:t>justifier </w:t>
      </w:r>
      <w:r>
        <w:rPr>
          <w:rFonts w:cs="Calibri"/>
          <w:lang w:val="fr-FR"/>
        </w:rPr>
        <w:t>du profil suivant</w:t>
      </w:r>
      <w:r w:rsidR="00A717A9">
        <w:rPr>
          <w:rFonts w:cs="Calibri"/>
          <w:lang w:val="fr-FR"/>
        </w:rPr>
        <w:t xml:space="preserve"> </w:t>
      </w:r>
      <w:r w:rsidRPr="00187AB7">
        <w:rPr>
          <w:rFonts w:cs="Calibri"/>
          <w:lang w:val="fr-FR"/>
        </w:rPr>
        <w:t>:</w:t>
      </w:r>
      <w:r w:rsidR="00AA2BBC">
        <w:rPr>
          <w:rFonts w:cs="Calibri"/>
          <w:lang w:val="fr-FR"/>
        </w:rPr>
        <w:t xml:space="preserve"> </w:t>
      </w:r>
    </w:p>
    <w:p w14:paraId="48BC976E" w14:textId="6BD881AD" w:rsidR="00A717A9" w:rsidRPr="00A717A9" w:rsidRDefault="00A717A9" w:rsidP="00A717A9">
      <w:pPr>
        <w:pStyle w:val="ListParagraph"/>
        <w:numPr>
          <w:ilvl w:val="0"/>
          <w:numId w:val="13"/>
        </w:numPr>
        <w:autoSpaceDE w:val="0"/>
        <w:autoSpaceDN w:val="0"/>
        <w:adjustRightInd w:val="0"/>
        <w:jc w:val="both"/>
        <w:rPr>
          <w:rFonts w:cs="Calibri"/>
          <w:lang w:val="fr-FR"/>
        </w:rPr>
      </w:pPr>
      <w:r>
        <w:rPr>
          <w:rFonts w:cs="Calibri"/>
          <w:lang w:val="fr-FR"/>
        </w:rPr>
        <w:t xml:space="preserve">Avoir </w:t>
      </w:r>
      <w:r w:rsidR="001A0830" w:rsidRPr="00A717A9">
        <w:rPr>
          <w:rFonts w:cs="Calibri"/>
          <w:lang w:val="fr-FR"/>
        </w:rPr>
        <w:t xml:space="preserve">un diplôme supérieur en </w:t>
      </w:r>
      <w:r w:rsidRPr="00A717A9">
        <w:rPr>
          <w:rFonts w:cs="Calibri"/>
          <w:lang w:val="fr-FR"/>
        </w:rPr>
        <w:t>santé publique</w:t>
      </w:r>
      <w:r w:rsidR="00B23ED5">
        <w:rPr>
          <w:rFonts w:cs="Calibri"/>
          <w:lang w:val="fr-FR"/>
        </w:rPr>
        <w:t xml:space="preserve"> </w:t>
      </w:r>
      <w:r w:rsidR="00DA6ECC" w:rsidRPr="00DA6ECC">
        <w:rPr>
          <w:rFonts w:cs="Calibri"/>
          <w:lang w:val="fr-FR"/>
        </w:rPr>
        <w:t>ayant une expérience confirmée en matière de santé communautaire, ou spécialiste en santé communautaire.</w:t>
      </w:r>
    </w:p>
    <w:p w14:paraId="2E909CBD" w14:textId="5CEE8E96" w:rsidR="00A717A9" w:rsidRDefault="00A717A9" w:rsidP="00A717A9">
      <w:pPr>
        <w:pStyle w:val="ListParagraph"/>
        <w:numPr>
          <w:ilvl w:val="0"/>
          <w:numId w:val="13"/>
        </w:numPr>
        <w:autoSpaceDE w:val="0"/>
        <w:autoSpaceDN w:val="0"/>
        <w:adjustRightInd w:val="0"/>
        <w:jc w:val="both"/>
        <w:rPr>
          <w:rFonts w:cs="Calibri"/>
          <w:lang w:val="fr-FR"/>
        </w:rPr>
      </w:pPr>
      <w:r w:rsidRPr="00A717A9">
        <w:rPr>
          <w:rFonts w:cs="Calibri"/>
          <w:lang w:val="fr-FR"/>
        </w:rPr>
        <w:t xml:space="preserve">Avoir </w:t>
      </w:r>
      <w:r w:rsidR="00DA6ECC" w:rsidRPr="003A5C3A">
        <w:rPr>
          <w:rFonts w:cs="Calibri"/>
          <w:lang w:val="fr-FR"/>
        </w:rPr>
        <w:t>une bonne connaissance du système de santé national, et des programmes de santé du Ministère de la Santé au Maroc</w:t>
      </w:r>
      <w:r w:rsidRPr="00A717A9">
        <w:rPr>
          <w:rFonts w:cs="Calibri"/>
          <w:lang w:val="fr-FR"/>
        </w:rPr>
        <w:t>.</w:t>
      </w:r>
    </w:p>
    <w:p w14:paraId="46E1029C" w14:textId="5B680DE4" w:rsidR="00DA6ECC" w:rsidRPr="00A717A9" w:rsidRDefault="003A5C3A" w:rsidP="00A717A9">
      <w:pPr>
        <w:pStyle w:val="ListParagraph"/>
        <w:numPr>
          <w:ilvl w:val="0"/>
          <w:numId w:val="13"/>
        </w:numPr>
        <w:autoSpaceDE w:val="0"/>
        <w:autoSpaceDN w:val="0"/>
        <w:adjustRightInd w:val="0"/>
        <w:jc w:val="both"/>
        <w:rPr>
          <w:rFonts w:cs="Calibri"/>
          <w:lang w:val="fr-FR"/>
        </w:rPr>
      </w:pPr>
      <w:r w:rsidRPr="003A5C3A">
        <w:rPr>
          <w:rFonts w:cs="Calibri"/>
          <w:lang w:val="fr-FR"/>
        </w:rPr>
        <w:t>Avoir des compétences en pédagogie et pour la conception des outils de formation, une expérience en enseignement est souhaitable.</w:t>
      </w:r>
    </w:p>
    <w:p w14:paraId="20646F29" w14:textId="74DDC817" w:rsidR="00E10DAE" w:rsidRDefault="00413F7D" w:rsidP="00BE086E">
      <w:pPr>
        <w:pStyle w:val="ListParagraph"/>
        <w:numPr>
          <w:ilvl w:val="0"/>
          <w:numId w:val="13"/>
        </w:numPr>
        <w:autoSpaceDE w:val="0"/>
        <w:autoSpaceDN w:val="0"/>
        <w:adjustRightInd w:val="0"/>
        <w:jc w:val="both"/>
        <w:rPr>
          <w:rFonts w:cs="Calibri"/>
          <w:lang w:val="fr-FR"/>
        </w:rPr>
      </w:pPr>
      <w:r>
        <w:rPr>
          <w:rFonts w:cs="Calibri"/>
          <w:lang w:val="fr-FR"/>
        </w:rPr>
        <w:t>M</w:t>
      </w:r>
      <w:r w:rsidR="00BE086E" w:rsidRPr="00BE086E">
        <w:rPr>
          <w:rFonts w:cs="Calibri"/>
          <w:lang w:val="fr-FR"/>
        </w:rPr>
        <w:t>aitrise</w:t>
      </w:r>
      <w:r>
        <w:rPr>
          <w:rFonts w:cs="Calibri"/>
          <w:lang w:val="fr-FR"/>
        </w:rPr>
        <w:t xml:space="preserve"> de </w:t>
      </w:r>
      <w:r w:rsidR="00BE086E" w:rsidRPr="00BE086E">
        <w:rPr>
          <w:rFonts w:cs="Calibri"/>
          <w:lang w:val="fr-FR"/>
        </w:rPr>
        <w:t>la langue arabe</w:t>
      </w:r>
      <w:r w:rsidR="003A5C3A">
        <w:rPr>
          <w:rFonts w:cs="Calibri"/>
          <w:lang w:val="fr-FR"/>
        </w:rPr>
        <w:t xml:space="preserve"> et française</w:t>
      </w:r>
      <w:r w:rsidR="00E10DAE" w:rsidRPr="00BE086E">
        <w:rPr>
          <w:rFonts w:cs="Calibri"/>
          <w:lang w:val="fr-FR"/>
        </w:rPr>
        <w:t xml:space="preserve">. </w:t>
      </w:r>
    </w:p>
    <w:p w14:paraId="043F63B5" w14:textId="77777777" w:rsidR="00172A1D" w:rsidRDefault="00172A1D" w:rsidP="00172A1D">
      <w:pPr>
        <w:pStyle w:val="ListParagraph"/>
        <w:numPr>
          <w:ilvl w:val="0"/>
          <w:numId w:val="13"/>
        </w:numPr>
        <w:autoSpaceDE w:val="0"/>
        <w:autoSpaceDN w:val="0"/>
        <w:adjustRightInd w:val="0"/>
        <w:jc w:val="both"/>
        <w:rPr>
          <w:rFonts w:cs="Calibri"/>
          <w:lang w:val="fr-FR"/>
        </w:rPr>
      </w:pPr>
      <w:r w:rsidRPr="003A5C3A">
        <w:rPr>
          <w:rFonts w:cs="Calibri"/>
          <w:lang w:val="fr-FR"/>
        </w:rPr>
        <w:t>Une expérience internationale confirmée est souhaitable</w:t>
      </w:r>
    </w:p>
    <w:p w14:paraId="0DF23F20" w14:textId="77777777" w:rsidR="007B6E52" w:rsidRPr="003A5C3A" w:rsidRDefault="007B6E52" w:rsidP="003A5C3A">
      <w:pPr>
        <w:autoSpaceDE w:val="0"/>
        <w:autoSpaceDN w:val="0"/>
        <w:adjustRightInd w:val="0"/>
        <w:ind w:left="360"/>
        <w:jc w:val="both"/>
        <w:rPr>
          <w:rFonts w:cs="Calibri"/>
          <w:lang w:val="fr-FR"/>
        </w:rPr>
      </w:pPr>
    </w:p>
    <w:p w14:paraId="548CC565" w14:textId="39889764" w:rsidR="004677E2" w:rsidRPr="004677E2" w:rsidRDefault="004677E2" w:rsidP="004677E2">
      <w:pPr>
        <w:pStyle w:val="Heading1"/>
        <w:rPr>
          <w:snapToGrid/>
        </w:rPr>
      </w:pPr>
      <w:bookmarkStart w:id="8" w:name="_Toc445382439"/>
      <w:bookmarkStart w:id="9" w:name="_Toc454462180"/>
      <w:bookmarkStart w:id="10" w:name="_Toc488923920"/>
      <w:bookmarkStart w:id="11" w:name="_Toc510629121"/>
      <w:r>
        <w:rPr>
          <w:snapToGrid/>
        </w:rPr>
        <w:t>Considérations d’ordre éthique</w:t>
      </w:r>
      <w:r w:rsidRPr="004677E2">
        <w:rPr>
          <w:snapToGrid/>
        </w:rPr>
        <w:t xml:space="preserve"> :</w:t>
      </w:r>
    </w:p>
    <w:p w14:paraId="68CD9381" w14:textId="77777777" w:rsidR="004677E2" w:rsidRPr="004677E2" w:rsidRDefault="004677E2" w:rsidP="004677E2">
      <w:pPr>
        <w:jc w:val="both"/>
        <w:rPr>
          <w:rFonts w:cs="Calibri"/>
          <w:lang w:val="fr-FR"/>
        </w:rPr>
      </w:pPr>
      <w:r w:rsidRPr="004677E2">
        <w:rPr>
          <w:rFonts w:cs="Calibri"/>
          <w:lang w:val="fr-FR"/>
        </w:rPr>
        <w:t xml:space="preserve">Les informations recueillies dans le cadre de ce travail doivent rester confidentielles. En cas d’infraction à cette règle, les livrables ne seront pas validés, et des poursuites peuvent être engagées. </w:t>
      </w:r>
    </w:p>
    <w:p w14:paraId="31A0ABE2" w14:textId="4E171824" w:rsidR="004677E2" w:rsidRDefault="004677E2" w:rsidP="004677E2">
      <w:pPr>
        <w:jc w:val="both"/>
        <w:rPr>
          <w:rFonts w:cs="Calibri"/>
          <w:lang w:val="fr-FR"/>
        </w:rPr>
      </w:pPr>
      <w:r w:rsidRPr="004677E2">
        <w:rPr>
          <w:rFonts w:cs="Calibri"/>
          <w:lang w:val="fr-FR"/>
        </w:rPr>
        <w:t xml:space="preserve">Les documents développés dans le cadre de ce travail sont la propriété du Ministère de la Santé </w:t>
      </w:r>
      <w:r>
        <w:rPr>
          <w:rFonts w:cs="Calibri"/>
          <w:lang w:val="fr-FR"/>
        </w:rPr>
        <w:t xml:space="preserve">et l’UNICEF </w:t>
      </w:r>
      <w:r w:rsidRPr="004677E2">
        <w:rPr>
          <w:rFonts w:cs="Calibri"/>
          <w:lang w:val="fr-FR"/>
        </w:rPr>
        <w:t>et ne peuvent être dupliqués ou utilisé</w:t>
      </w:r>
      <w:r>
        <w:rPr>
          <w:rFonts w:cs="Calibri"/>
          <w:lang w:val="fr-FR"/>
        </w:rPr>
        <w:t>s</w:t>
      </w:r>
      <w:r w:rsidRPr="004677E2">
        <w:rPr>
          <w:rFonts w:cs="Calibri"/>
          <w:lang w:val="fr-FR"/>
        </w:rPr>
        <w:t xml:space="preserve"> à d’autres fins.</w:t>
      </w:r>
    </w:p>
    <w:p w14:paraId="6705F5F1" w14:textId="77777777" w:rsidR="002F4757" w:rsidRPr="004677E2" w:rsidRDefault="002F4757" w:rsidP="004677E2">
      <w:pPr>
        <w:jc w:val="both"/>
        <w:rPr>
          <w:rFonts w:cs="Calibri"/>
          <w:lang w:val="fr-FR"/>
        </w:rPr>
      </w:pPr>
    </w:p>
    <w:p w14:paraId="34DBB5BD" w14:textId="60269630" w:rsidR="004677E2" w:rsidRPr="004677E2" w:rsidRDefault="00017E28" w:rsidP="004677E2">
      <w:pPr>
        <w:pStyle w:val="Heading1"/>
        <w:rPr>
          <w:snapToGrid/>
        </w:rPr>
      </w:pPr>
      <w:r w:rsidRPr="005C55D6">
        <w:rPr>
          <w:snapToGrid/>
        </w:rPr>
        <w:t>D</w:t>
      </w:r>
      <w:bookmarkEnd w:id="8"/>
      <w:bookmarkEnd w:id="9"/>
      <w:bookmarkEnd w:id="10"/>
      <w:r w:rsidR="00C11F5B" w:rsidRPr="005C55D6">
        <w:rPr>
          <w:snapToGrid/>
        </w:rPr>
        <w:t>ossier de l’offre</w:t>
      </w:r>
      <w:bookmarkEnd w:id="11"/>
      <w:r w:rsidRPr="005C55D6">
        <w:rPr>
          <w:snapToGrid/>
        </w:rPr>
        <w:t xml:space="preserve"> </w:t>
      </w:r>
    </w:p>
    <w:p w14:paraId="6B6A89B8" w14:textId="70BEBAC7" w:rsidR="00514CFA" w:rsidRPr="00413F7D" w:rsidRDefault="00514CFA" w:rsidP="00514CFA">
      <w:pPr>
        <w:jc w:val="both"/>
        <w:rPr>
          <w:rFonts w:cs="Calibri"/>
          <w:lang w:val="fr-FR"/>
        </w:rPr>
      </w:pPr>
      <w:r w:rsidRPr="00514CFA">
        <w:rPr>
          <w:rFonts w:cs="Calibri"/>
          <w:lang w:val="fr-FR"/>
        </w:rPr>
        <w:t xml:space="preserve">Cette consultation est ouverte </w:t>
      </w:r>
      <w:r w:rsidR="003A157A">
        <w:rPr>
          <w:rFonts w:cs="Calibri"/>
          <w:lang w:val="fr-FR"/>
        </w:rPr>
        <w:t xml:space="preserve">aux </w:t>
      </w:r>
      <w:r w:rsidRPr="00514CFA">
        <w:rPr>
          <w:rFonts w:cs="Calibri"/>
          <w:lang w:val="fr-FR"/>
        </w:rPr>
        <w:t xml:space="preserve">consultants </w:t>
      </w:r>
      <w:r w:rsidR="004677E2">
        <w:rPr>
          <w:rFonts w:cs="Calibri"/>
          <w:lang w:val="fr-FR"/>
        </w:rPr>
        <w:t xml:space="preserve">individuels </w:t>
      </w:r>
      <w:r w:rsidRPr="00514CFA">
        <w:rPr>
          <w:rFonts w:cs="Calibri"/>
          <w:lang w:val="fr-FR"/>
        </w:rPr>
        <w:t xml:space="preserve">nationaux. </w:t>
      </w:r>
      <w:r w:rsidR="00413F7D" w:rsidRPr="009B6ADD">
        <w:rPr>
          <w:rFonts w:cs="Calibri"/>
          <w:color w:val="000000"/>
          <w:lang w:val="fr-FR"/>
        </w:rPr>
        <w:t>Le</w:t>
      </w:r>
      <w:r w:rsidR="002F4757">
        <w:rPr>
          <w:rFonts w:cs="Calibri"/>
          <w:color w:val="000000"/>
          <w:lang w:val="fr-FR"/>
        </w:rPr>
        <w:t>/la</w:t>
      </w:r>
      <w:r w:rsidR="00413F7D" w:rsidRPr="009B6ADD">
        <w:rPr>
          <w:rFonts w:cs="Calibri"/>
          <w:color w:val="000000"/>
          <w:lang w:val="fr-FR"/>
        </w:rPr>
        <w:t xml:space="preserve"> consultant sera </w:t>
      </w:r>
      <w:proofErr w:type="spellStart"/>
      <w:proofErr w:type="gramStart"/>
      <w:r w:rsidR="00413F7D" w:rsidRPr="009B6ADD">
        <w:rPr>
          <w:rFonts w:cs="Calibri"/>
          <w:color w:val="000000"/>
          <w:lang w:val="fr-FR"/>
        </w:rPr>
        <w:t>recruté</w:t>
      </w:r>
      <w:r w:rsidR="002F4757">
        <w:rPr>
          <w:rFonts w:cs="Calibri"/>
          <w:color w:val="000000"/>
          <w:lang w:val="fr-FR"/>
        </w:rPr>
        <w:t>.e</w:t>
      </w:r>
      <w:proofErr w:type="spellEnd"/>
      <w:proofErr w:type="gramEnd"/>
      <w:r w:rsidR="00413F7D" w:rsidRPr="009B6ADD">
        <w:rPr>
          <w:rFonts w:cs="Calibri"/>
          <w:color w:val="000000"/>
          <w:lang w:val="fr-FR"/>
        </w:rPr>
        <w:t xml:space="preserve"> sur </w:t>
      </w:r>
      <w:r w:rsidR="00413F7D" w:rsidRPr="009B6ADD">
        <w:rPr>
          <w:rFonts w:cs="Calibri"/>
          <w:bCs/>
          <w:lang w:val="fr-FR"/>
        </w:rPr>
        <w:t>la base d’un contrat de prestations de services conclu avec le bureau de l’UNICEF au Maroc.</w:t>
      </w:r>
    </w:p>
    <w:p w14:paraId="281A6995" w14:textId="77777777" w:rsidR="00135C81" w:rsidRDefault="00135C81" w:rsidP="003A157A">
      <w:pPr>
        <w:jc w:val="both"/>
        <w:rPr>
          <w:rFonts w:cs="Calibri"/>
          <w:lang w:val="fr-FR"/>
        </w:rPr>
      </w:pPr>
    </w:p>
    <w:p w14:paraId="50FAA515" w14:textId="23CC8658" w:rsidR="003A157A" w:rsidRPr="003A157A" w:rsidRDefault="003A157A" w:rsidP="003A157A">
      <w:pPr>
        <w:jc w:val="both"/>
        <w:rPr>
          <w:rFonts w:cs="Calibri"/>
          <w:lang w:val="fr-FR"/>
        </w:rPr>
      </w:pPr>
      <w:r w:rsidRPr="003A157A">
        <w:rPr>
          <w:rFonts w:cs="Calibri"/>
          <w:lang w:val="fr-FR"/>
        </w:rPr>
        <w:t>Le</w:t>
      </w:r>
      <w:r w:rsidR="002F4757">
        <w:rPr>
          <w:rFonts w:cs="Calibri"/>
          <w:lang w:val="fr-FR"/>
        </w:rPr>
        <w:t>/la</w:t>
      </w:r>
      <w:r w:rsidRPr="003A157A">
        <w:rPr>
          <w:rFonts w:cs="Calibri"/>
          <w:lang w:val="fr-FR"/>
        </w:rPr>
        <w:t xml:space="preserve"> </w:t>
      </w:r>
      <w:proofErr w:type="spellStart"/>
      <w:proofErr w:type="gramStart"/>
      <w:r w:rsidRPr="003A157A">
        <w:rPr>
          <w:rFonts w:cs="Calibri"/>
          <w:lang w:val="fr-FR"/>
        </w:rPr>
        <w:t>consultant</w:t>
      </w:r>
      <w:r w:rsidR="002F4757">
        <w:rPr>
          <w:rFonts w:cs="Calibri"/>
          <w:lang w:val="fr-FR"/>
        </w:rPr>
        <w:t>.e</w:t>
      </w:r>
      <w:proofErr w:type="spellEnd"/>
      <w:proofErr w:type="gramEnd"/>
      <w:r w:rsidRPr="003A157A">
        <w:rPr>
          <w:rFonts w:cs="Calibri"/>
          <w:lang w:val="fr-FR"/>
        </w:rPr>
        <w:t xml:space="preserve"> </w:t>
      </w:r>
      <w:r w:rsidR="00135C81" w:rsidRPr="003A157A">
        <w:rPr>
          <w:rFonts w:cs="Calibri"/>
          <w:lang w:val="fr-FR"/>
        </w:rPr>
        <w:t>devr</w:t>
      </w:r>
      <w:r w:rsidR="00135C81">
        <w:rPr>
          <w:rFonts w:cs="Calibri"/>
          <w:lang w:val="fr-FR"/>
        </w:rPr>
        <w:t>a</w:t>
      </w:r>
      <w:r w:rsidR="00135C81" w:rsidRPr="003A157A">
        <w:rPr>
          <w:rFonts w:cs="Calibri"/>
          <w:lang w:val="fr-FR"/>
        </w:rPr>
        <w:t xml:space="preserve"> </w:t>
      </w:r>
      <w:r w:rsidRPr="003A157A">
        <w:rPr>
          <w:rFonts w:cs="Calibri"/>
          <w:lang w:val="fr-FR"/>
        </w:rPr>
        <w:t>inclure dans le dossier de candidature une offre technique et une offre financière.</w:t>
      </w:r>
    </w:p>
    <w:p w14:paraId="1430E514" w14:textId="77777777" w:rsidR="00C11F5B" w:rsidRPr="00C878D2" w:rsidRDefault="00C11F5B" w:rsidP="00017E28">
      <w:pPr>
        <w:jc w:val="both"/>
        <w:rPr>
          <w:rFonts w:cs="Calibri"/>
          <w:lang w:val="fr-FR"/>
        </w:rPr>
      </w:pPr>
    </w:p>
    <w:p w14:paraId="69E4F85C" w14:textId="51C55808" w:rsidR="00017E28" w:rsidRPr="005C55D6" w:rsidRDefault="00017E28" w:rsidP="005C55D6">
      <w:pPr>
        <w:pStyle w:val="Heading1"/>
        <w:numPr>
          <w:ilvl w:val="1"/>
          <w:numId w:val="24"/>
        </w:numPr>
        <w:rPr>
          <w:snapToGrid/>
        </w:rPr>
      </w:pPr>
      <w:bookmarkStart w:id="12" w:name="_Toc510629122"/>
      <w:r w:rsidRPr="005C55D6">
        <w:rPr>
          <w:snapToGrid/>
        </w:rPr>
        <w:t>Offre technique</w:t>
      </w:r>
      <w:bookmarkEnd w:id="12"/>
    </w:p>
    <w:p w14:paraId="004FDF0D" w14:textId="692A4146" w:rsidR="00C11F5B" w:rsidRPr="00C878D2" w:rsidRDefault="00017E28" w:rsidP="00AA2BBC">
      <w:pPr>
        <w:jc w:val="both"/>
        <w:rPr>
          <w:lang w:val="fr-FR"/>
        </w:rPr>
      </w:pPr>
      <w:r w:rsidRPr="00C878D2">
        <w:rPr>
          <w:lang w:val="fr-FR"/>
        </w:rPr>
        <w:t>L’offre technique doit comprendre, mais sans s’y limiter, ce qui suit :</w:t>
      </w:r>
    </w:p>
    <w:p w14:paraId="23F97B4B" w14:textId="2D3E94BE" w:rsidR="00017E28" w:rsidRPr="00217ADB" w:rsidRDefault="00017E28" w:rsidP="00017E28">
      <w:pPr>
        <w:pStyle w:val="ListParagraph"/>
        <w:numPr>
          <w:ilvl w:val="0"/>
          <w:numId w:val="14"/>
        </w:numPr>
        <w:spacing w:after="200" w:line="276" w:lineRule="auto"/>
        <w:jc w:val="both"/>
        <w:rPr>
          <w:rFonts w:cs="Calibri"/>
          <w:lang w:val="fr-FR"/>
        </w:rPr>
      </w:pPr>
      <w:r w:rsidRPr="00C878D2">
        <w:rPr>
          <w:rFonts w:cs="Calibri"/>
          <w:lang w:val="fr-FR"/>
        </w:rPr>
        <w:t xml:space="preserve">Une </w:t>
      </w:r>
      <w:r w:rsidR="00C11F5B" w:rsidRPr="00217ADB">
        <w:rPr>
          <w:rFonts w:cs="Calibri"/>
          <w:lang w:val="fr-FR"/>
        </w:rPr>
        <w:t>n</w:t>
      </w:r>
      <w:r w:rsidRPr="00217ADB">
        <w:rPr>
          <w:rFonts w:cs="Calibri"/>
          <w:lang w:val="fr-FR"/>
        </w:rPr>
        <w:t>ote méthodologique</w:t>
      </w:r>
      <w:r w:rsidR="00D17967" w:rsidRPr="00217ADB">
        <w:rPr>
          <w:rFonts w:cs="Calibri"/>
          <w:lang w:val="fr-FR"/>
        </w:rPr>
        <w:t xml:space="preserve"> avec un maximum de 5 pages</w:t>
      </w:r>
      <w:r w:rsidR="00217ADB">
        <w:rPr>
          <w:rFonts w:cs="Calibri"/>
          <w:lang w:val="fr-FR"/>
        </w:rPr>
        <w:t xml:space="preserve"> </w:t>
      </w:r>
      <w:r w:rsidR="00D17967" w:rsidRPr="00D17967">
        <w:rPr>
          <w:rFonts w:cs="Calibri"/>
          <w:lang w:val="fr-FR"/>
        </w:rPr>
        <w:t>(méthodologie et outils proposés, compréhension des termes de référence et des objectifs de la consultation, échéancier)</w:t>
      </w:r>
      <w:r w:rsidR="00FF2D4A" w:rsidRPr="00217ADB">
        <w:rPr>
          <w:rFonts w:cs="Calibri"/>
          <w:lang w:val="fr-FR"/>
        </w:rPr>
        <w:t>.</w:t>
      </w:r>
    </w:p>
    <w:p w14:paraId="362DD6BB" w14:textId="22ACB90F" w:rsidR="00017E28" w:rsidRPr="00217ADB" w:rsidRDefault="00FF2D4A" w:rsidP="00217ADB">
      <w:pPr>
        <w:pStyle w:val="ListParagraph"/>
        <w:numPr>
          <w:ilvl w:val="0"/>
          <w:numId w:val="14"/>
        </w:numPr>
        <w:spacing w:after="200" w:line="276" w:lineRule="auto"/>
        <w:jc w:val="both"/>
        <w:rPr>
          <w:rFonts w:cs="Calibri"/>
          <w:lang w:val="fr-FR"/>
        </w:rPr>
      </w:pPr>
      <w:r>
        <w:rPr>
          <w:rFonts w:cs="Calibri"/>
          <w:lang w:val="fr-FR"/>
        </w:rPr>
        <w:t>L</w:t>
      </w:r>
      <w:r w:rsidR="00017E28">
        <w:rPr>
          <w:rFonts w:cs="Calibri"/>
          <w:lang w:val="fr-FR"/>
        </w:rPr>
        <w:t>e</w:t>
      </w:r>
      <w:r w:rsidR="00017E28" w:rsidRPr="001A5F18">
        <w:rPr>
          <w:rFonts w:cs="Calibri"/>
          <w:lang w:val="fr-FR"/>
        </w:rPr>
        <w:t xml:space="preserve"> CV du</w:t>
      </w:r>
      <w:r w:rsidR="00CB576E">
        <w:rPr>
          <w:rFonts w:cs="Calibri"/>
          <w:lang w:val="fr-FR"/>
        </w:rPr>
        <w:t>/de la</w:t>
      </w:r>
      <w:r w:rsidR="00217ADB">
        <w:rPr>
          <w:rFonts w:cs="Calibri"/>
          <w:lang w:val="fr-FR"/>
        </w:rPr>
        <w:t xml:space="preserve"> </w:t>
      </w:r>
      <w:proofErr w:type="spellStart"/>
      <w:proofErr w:type="gramStart"/>
      <w:r w:rsidR="00017E28" w:rsidRPr="001A5F18">
        <w:rPr>
          <w:rFonts w:cs="Calibri"/>
          <w:lang w:val="fr-FR"/>
        </w:rPr>
        <w:t>consultant</w:t>
      </w:r>
      <w:r w:rsidR="00CB576E">
        <w:rPr>
          <w:rFonts w:cs="Calibri"/>
          <w:lang w:val="fr-FR"/>
        </w:rPr>
        <w:t>.e</w:t>
      </w:r>
      <w:proofErr w:type="spellEnd"/>
      <w:proofErr w:type="gramEnd"/>
      <w:r w:rsidR="00017E28">
        <w:rPr>
          <w:rFonts w:cs="Calibri"/>
          <w:lang w:val="fr-FR"/>
        </w:rPr>
        <w:t xml:space="preserve"> </w:t>
      </w:r>
      <w:r w:rsidR="00217ADB" w:rsidRPr="00D17967">
        <w:rPr>
          <w:rFonts w:cs="Calibri"/>
          <w:lang w:val="fr-FR"/>
        </w:rPr>
        <w:t>mettant en exergue les expériences antérieures dans le domaine de la santé communautaire avec les pièces justificatives afférentes</w:t>
      </w:r>
      <w:r w:rsidR="00217ADB">
        <w:rPr>
          <w:rFonts w:cs="Calibri"/>
          <w:lang w:val="fr-FR"/>
        </w:rPr>
        <w:t>.</w:t>
      </w:r>
    </w:p>
    <w:p w14:paraId="4EEA26FE" w14:textId="77777777" w:rsidR="00811087" w:rsidRDefault="00251743" w:rsidP="00811087">
      <w:pPr>
        <w:pStyle w:val="ListParagraph"/>
        <w:numPr>
          <w:ilvl w:val="0"/>
          <w:numId w:val="14"/>
        </w:numPr>
        <w:spacing w:after="200" w:line="276" w:lineRule="auto"/>
        <w:jc w:val="both"/>
        <w:rPr>
          <w:rFonts w:cs="Calibri"/>
          <w:lang w:val="fr-FR"/>
        </w:rPr>
      </w:pPr>
      <w:r w:rsidRPr="00D17967">
        <w:rPr>
          <w:rFonts w:cs="Calibri"/>
          <w:lang w:val="fr-FR"/>
        </w:rPr>
        <w:t>Copies légalisées des diplômes du consultant (e)</w:t>
      </w:r>
      <w:r w:rsidR="00811087">
        <w:rPr>
          <w:rFonts w:cs="Calibri"/>
          <w:lang w:val="fr-FR"/>
        </w:rPr>
        <w:t>.</w:t>
      </w:r>
    </w:p>
    <w:p w14:paraId="6521F3AD" w14:textId="3C8D491F" w:rsidR="00251743" w:rsidRPr="00811087" w:rsidRDefault="00811087" w:rsidP="00811087">
      <w:pPr>
        <w:pStyle w:val="ListParagraph"/>
        <w:numPr>
          <w:ilvl w:val="0"/>
          <w:numId w:val="14"/>
        </w:numPr>
        <w:spacing w:after="200" w:line="276" w:lineRule="auto"/>
        <w:jc w:val="both"/>
        <w:rPr>
          <w:rFonts w:cs="Calibri"/>
          <w:lang w:val="fr-FR"/>
        </w:rPr>
      </w:pPr>
      <w:r w:rsidRPr="00811087">
        <w:rPr>
          <w:rFonts w:cs="Calibri"/>
          <w:lang w:val="fr-FR"/>
        </w:rPr>
        <w:t xml:space="preserve"> </w:t>
      </w:r>
      <w:r w:rsidRPr="00D17967">
        <w:rPr>
          <w:rFonts w:cs="Calibri"/>
          <w:lang w:val="fr-FR"/>
        </w:rPr>
        <w:t>Des références des travaux similaires menées par le</w:t>
      </w:r>
      <w:r w:rsidR="00CB576E">
        <w:rPr>
          <w:rFonts w:cs="Calibri"/>
          <w:lang w:val="fr-FR"/>
        </w:rPr>
        <w:t>/la</w:t>
      </w:r>
      <w:r w:rsidRPr="00D17967">
        <w:rPr>
          <w:rFonts w:cs="Calibri"/>
          <w:lang w:val="fr-FR"/>
        </w:rPr>
        <w:t xml:space="preserve"> </w:t>
      </w:r>
      <w:proofErr w:type="spellStart"/>
      <w:r w:rsidRPr="00D17967">
        <w:rPr>
          <w:rFonts w:cs="Calibri"/>
          <w:lang w:val="fr-FR"/>
        </w:rPr>
        <w:t>consultant</w:t>
      </w:r>
      <w:r w:rsidR="00CB576E">
        <w:rPr>
          <w:rFonts w:cs="Calibri"/>
          <w:lang w:val="fr-FR"/>
        </w:rPr>
        <w:t>.e</w:t>
      </w:r>
      <w:proofErr w:type="spellEnd"/>
      <w:r>
        <w:rPr>
          <w:rFonts w:cs="Calibri"/>
          <w:lang w:val="fr-FR"/>
        </w:rPr>
        <w:t>.</w:t>
      </w:r>
    </w:p>
    <w:p w14:paraId="74ABCF03" w14:textId="0CD1F527" w:rsidR="00D17967" w:rsidRPr="00811087" w:rsidRDefault="00D17967" w:rsidP="00811087">
      <w:pPr>
        <w:pStyle w:val="ListParagraph"/>
        <w:numPr>
          <w:ilvl w:val="0"/>
          <w:numId w:val="14"/>
        </w:numPr>
        <w:spacing w:after="200" w:line="276" w:lineRule="auto"/>
        <w:jc w:val="both"/>
        <w:rPr>
          <w:rFonts w:cs="Calibri"/>
          <w:lang w:val="fr-FR"/>
        </w:rPr>
      </w:pPr>
      <w:r w:rsidRPr="00D17967">
        <w:rPr>
          <w:rFonts w:cs="Calibri"/>
          <w:lang w:val="fr-FR"/>
        </w:rPr>
        <w:lastRenderedPageBreak/>
        <w:t>Une lettre de motivation démontrant l’intérêt pour cette consultation et une adéquation entre le profil et les qualifications de la candidature avec les présents termes de référence.</w:t>
      </w:r>
    </w:p>
    <w:p w14:paraId="7E13D962" w14:textId="23AE413E" w:rsidR="00D17967" w:rsidRPr="00811087" w:rsidRDefault="00D17967" w:rsidP="00811087">
      <w:pPr>
        <w:pStyle w:val="ListParagraph"/>
        <w:numPr>
          <w:ilvl w:val="0"/>
          <w:numId w:val="14"/>
        </w:numPr>
        <w:spacing w:after="200" w:line="276" w:lineRule="auto"/>
        <w:jc w:val="both"/>
        <w:rPr>
          <w:rFonts w:cs="Calibri"/>
          <w:lang w:val="fr-FR"/>
        </w:rPr>
      </w:pPr>
      <w:r w:rsidRPr="00D17967">
        <w:rPr>
          <w:rFonts w:cs="Calibri"/>
          <w:lang w:val="fr-FR"/>
        </w:rPr>
        <w:t>L’offre technique doit inclure le chronogramme proposé pour la consultation</w:t>
      </w:r>
    </w:p>
    <w:p w14:paraId="5BD97787" w14:textId="78E9A73D" w:rsidR="00017E28" w:rsidRPr="005C55D6" w:rsidRDefault="00017E28" w:rsidP="005C55D6">
      <w:pPr>
        <w:pStyle w:val="Heading1"/>
        <w:numPr>
          <w:ilvl w:val="1"/>
          <w:numId w:val="24"/>
        </w:numPr>
        <w:rPr>
          <w:snapToGrid/>
        </w:rPr>
      </w:pPr>
      <w:bookmarkStart w:id="13" w:name="_Toc445382441"/>
      <w:bookmarkStart w:id="14" w:name="_Toc454462182"/>
      <w:bookmarkStart w:id="15" w:name="_Toc488923922"/>
      <w:bookmarkStart w:id="16" w:name="_Toc510629123"/>
      <w:r w:rsidRPr="005C55D6">
        <w:rPr>
          <w:snapToGrid/>
        </w:rPr>
        <w:t>O</w:t>
      </w:r>
      <w:r w:rsidR="00FF2D4A" w:rsidRPr="005C55D6">
        <w:rPr>
          <w:snapToGrid/>
        </w:rPr>
        <w:t xml:space="preserve">ffre </w:t>
      </w:r>
      <w:bookmarkEnd w:id="13"/>
      <w:bookmarkEnd w:id="14"/>
      <w:bookmarkEnd w:id="15"/>
      <w:r w:rsidR="00735C70" w:rsidRPr="005C55D6">
        <w:rPr>
          <w:snapToGrid/>
        </w:rPr>
        <w:t>Financière :</w:t>
      </w:r>
      <w:bookmarkEnd w:id="16"/>
    </w:p>
    <w:p w14:paraId="444E58D6" w14:textId="65D2F3FB" w:rsidR="00135C81" w:rsidRDefault="00135C81" w:rsidP="00135C81">
      <w:pPr>
        <w:pStyle w:val="ListParagraph"/>
        <w:ind w:left="0"/>
        <w:rPr>
          <w:rFonts w:ascii="Times New Roman" w:hAnsi="Times New Roman"/>
          <w:lang w:val="fr-FR"/>
        </w:rPr>
      </w:pPr>
      <w:r w:rsidRPr="009B6ADD">
        <w:rPr>
          <w:rFonts w:ascii="Times New Roman" w:hAnsi="Times New Roman"/>
          <w:lang w:val="fr-FR"/>
        </w:rPr>
        <w:t xml:space="preserve">L’offre financière devra comprendre pour chacune des prestations, en dirham (MAD), le nombre de jours estimés et le taux journalier y compris les frais de déplacement et toute autre charge liée à la réalisation des prestations. </w:t>
      </w:r>
    </w:p>
    <w:p w14:paraId="68E6CBBB" w14:textId="7922C62F" w:rsidR="00135C81" w:rsidRDefault="00135C81" w:rsidP="00135C81">
      <w:pPr>
        <w:pStyle w:val="ListParagraph"/>
        <w:ind w:left="0"/>
        <w:rPr>
          <w:rFonts w:ascii="Times New Roman" w:hAnsi="Times New Roman"/>
          <w:lang w:val="fr-FR"/>
        </w:rPr>
      </w:pPr>
    </w:p>
    <w:p w14:paraId="69A2F6D2" w14:textId="0E7DD89C" w:rsidR="00135C81" w:rsidRDefault="00135C81" w:rsidP="00135C81">
      <w:pPr>
        <w:pStyle w:val="ListParagraph"/>
        <w:ind w:left="0"/>
        <w:rPr>
          <w:rFonts w:ascii="Times New Roman" w:hAnsi="Times New Roman"/>
          <w:lang w:val="fr-FR"/>
        </w:rPr>
      </w:pPr>
      <w:r w:rsidRPr="009B6ADD">
        <w:rPr>
          <w:rFonts w:ascii="Times New Roman" w:hAnsi="Times New Roman"/>
          <w:lang w:val="fr-FR"/>
        </w:rPr>
        <w:t>N.B : Les honoraires devraient être en montant brut et la déclaration des impôts est sur la charge du consultant.</w:t>
      </w:r>
    </w:p>
    <w:p w14:paraId="0CEB8D6D" w14:textId="439D3D47" w:rsidR="00135C81" w:rsidRDefault="00135C81" w:rsidP="00135C81">
      <w:pPr>
        <w:pStyle w:val="ListParagraph"/>
        <w:ind w:left="0"/>
        <w:rPr>
          <w:rFonts w:ascii="Times New Roman" w:hAnsi="Times New Roman"/>
          <w:lang w:val="fr-FR"/>
        </w:rPr>
      </w:pPr>
    </w:p>
    <w:p w14:paraId="1FA7FBCB" w14:textId="77777777" w:rsidR="00135C81" w:rsidRPr="009B6ADD" w:rsidRDefault="00135C81" w:rsidP="00135C81">
      <w:pPr>
        <w:spacing w:before="100" w:beforeAutospacing="1" w:after="100" w:afterAutospacing="1"/>
        <w:rPr>
          <w:rFonts w:cs="Calibri"/>
          <w:color w:val="000000"/>
          <w:lang w:val="fr-FR"/>
        </w:rPr>
      </w:pPr>
      <w:r w:rsidRPr="009B6ADD">
        <w:rPr>
          <w:rFonts w:cs="Calibri"/>
          <w:b/>
          <w:bCs/>
          <w:color w:val="000000"/>
          <w:lang w:val="fr-FR"/>
        </w:rPr>
        <w:t>Tous ces documents doivent être attachés sur le système lors de la soumission.</w:t>
      </w:r>
    </w:p>
    <w:p w14:paraId="0A735100" w14:textId="579C8C75" w:rsidR="00135C81" w:rsidRPr="009B6ADD" w:rsidRDefault="00135C81" w:rsidP="00697327">
      <w:pPr>
        <w:spacing w:after="120"/>
        <w:rPr>
          <w:rFonts w:cs="Calibri"/>
          <w:b/>
          <w:lang w:val="fr-FR"/>
        </w:rPr>
      </w:pPr>
      <w:r w:rsidRPr="009B6ADD">
        <w:rPr>
          <w:rFonts w:cs="Calibri"/>
          <w:b/>
          <w:lang w:val="fr-FR"/>
        </w:rPr>
        <w:t xml:space="preserve">Le délai de candidature est fixé au </w:t>
      </w:r>
      <w:r w:rsidR="009B6ADD">
        <w:rPr>
          <w:rFonts w:cs="Calibri"/>
          <w:b/>
          <w:lang w:val="fr-FR"/>
        </w:rPr>
        <w:t xml:space="preserve">30 novembre 2021 </w:t>
      </w:r>
    </w:p>
    <w:p w14:paraId="04F7249A" w14:textId="77777777" w:rsidR="00135C81" w:rsidRPr="009B6ADD" w:rsidRDefault="00135C81" w:rsidP="00135C81">
      <w:pPr>
        <w:rPr>
          <w:rFonts w:cs="Calibri"/>
          <w:b/>
          <w:lang w:val="fr-FR"/>
        </w:rPr>
      </w:pPr>
      <w:r w:rsidRPr="009B6ADD">
        <w:rPr>
          <w:rFonts w:cs="Calibri"/>
          <w:b/>
          <w:lang w:val="fr-FR"/>
        </w:rPr>
        <w:t>****Tout dossier incomplet sera considéré comme irrecevable****</w:t>
      </w:r>
    </w:p>
    <w:p w14:paraId="0244ACDB" w14:textId="77777777" w:rsidR="00135C81" w:rsidRPr="009B6ADD" w:rsidRDefault="00135C81" w:rsidP="00135C81">
      <w:pPr>
        <w:pStyle w:val="ListParagraph"/>
        <w:ind w:left="0"/>
        <w:rPr>
          <w:rFonts w:ascii="Times New Roman" w:hAnsi="Times New Roman"/>
          <w:lang w:val="fr-FR"/>
        </w:rPr>
      </w:pPr>
    </w:p>
    <w:p w14:paraId="174E6ACC" w14:textId="05E61DA4" w:rsidR="00C11F5B" w:rsidRPr="005C55D6" w:rsidRDefault="00017E28" w:rsidP="005C55D6">
      <w:pPr>
        <w:pStyle w:val="Heading1"/>
        <w:rPr>
          <w:snapToGrid/>
        </w:rPr>
      </w:pPr>
      <w:bookmarkStart w:id="17" w:name="_Toc488923923"/>
      <w:bookmarkStart w:id="18" w:name="_Toc510629124"/>
      <w:r w:rsidRPr="005C55D6">
        <w:rPr>
          <w:snapToGrid/>
        </w:rPr>
        <w:t>E</w:t>
      </w:r>
      <w:bookmarkEnd w:id="17"/>
      <w:r w:rsidR="00C11F5B" w:rsidRPr="005C55D6">
        <w:rPr>
          <w:snapToGrid/>
        </w:rPr>
        <w:t>valuation des offres</w:t>
      </w:r>
      <w:bookmarkEnd w:id="18"/>
    </w:p>
    <w:p w14:paraId="16B2B288" w14:textId="6193173D" w:rsidR="00017E28" w:rsidRDefault="00017E28" w:rsidP="00C11F5B">
      <w:pPr>
        <w:autoSpaceDE w:val="0"/>
        <w:autoSpaceDN w:val="0"/>
        <w:adjustRightInd w:val="0"/>
        <w:jc w:val="both"/>
        <w:rPr>
          <w:lang w:val="fr-FR"/>
        </w:rPr>
      </w:pPr>
      <w:r w:rsidRPr="00C11F5B">
        <w:rPr>
          <w:lang w:val="fr-FR"/>
        </w:rPr>
        <w:t>L’évaluation finale des offres sera faite en fonction d’une pondération des Critères d’évaluation Technique et Financière.</w:t>
      </w:r>
    </w:p>
    <w:p w14:paraId="62EF7985" w14:textId="77777777" w:rsidR="00C11F5B" w:rsidRPr="00C11F5B" w:rsidRDefault="00C11F5B" w:rsidP="00C11F5B">
      <w:pPr>
        <w:autoSpaceDE w:val="0"/>
        <w:autoSpaceDN w:val="0"/>
        <w:adjustRightInd w:val="0"/>
        <w:jc w:val="both"/>
        <w:rPr>
          <w:lang w:val="fr-FR"/>
        </w:rPr>
      </w:pPr>
    </w:p>
    <w:p w14:paraId="6077C360" w14:textId="63C23CAB" w:rsidR="00017E28" w:rsidRPr="003A157A" w:rsidRDefault="00017E28" w:rsidP="003A157A">
      <w:pPr>
        <w:pStyle w:val="Heading2"/>
      </w:pPr>
      <w:bookmarkStart w:id="19" w:name="_Toc445378919"/>
      <w:bookmarkStart w:id="20" w:name="_Toc454462184"/>
      <w:bookmarkStart w:id="21" w:name="_Toc488923924"/>
      <w:bookmarkStart w:id="22" w:name="_Toc510629125"/>
      <w:r w:rsidRPr="003A157A">
        <w:t>Evaluation de l’offre technique (pondération de 80% de la note globale)</w:t>
      </w:r>
      <w:bookmarkEnd w:id="19"/>
      <w:bookmarkEnd w:id="20"/>
      <w:bookmarkEnd w:id="21"/>
      <w:bookmarkEnd w:id="22"/>
    </w:p>
    <w:p w14:paraId="6D8F2E03" w14:textId="39AD770A" w:rsidR="00017E28" w:rsidRPr="00FC14BD" w:rsidRDefault="00017E28" w:rsidP="00017E28">
      <w:pPr>
        <w:autoSpaceDE w:val="0"/>
        <w:autoSpaceDN w:val="0"/>
        <w:adjustRightInd w:val="0"/>
        <w:jc w:val="both"/>
        <w:rPr>
          <w:lang w:val="fr-FR"/>
        </w:rPr>
      </w:pPr>
      <w:r w:rsidRPr="00FC14BD">
        <w:rPr>
          <w:b/>
          <w:lang w:val="fr-FR"/>
        </w:rPr>
        <w:t>Un score technique (St)</w:t>
      </w:r>
      <w:r w:rsidR="00C11F5B">
        <w:rPr>
          <w:lang w:val="fr-FR"/>
        </w:rPr>
        <w:t xml:space="preserve"> avec un </w:t>
      </w:r>
      <w:r w:rsidRPr="00FC14BD">
        <w:rPr>
          <w:lang w:val="fr-FR"/>
        </w:rPr>
        <w:t>maximum de 100 points est attr</w:t>
      </w:r>
      <w:r w:rsidR="00AA2BBC">
        <w:rPr>
          <w:lang w:val="fr-FR"/>
        </w:rPr>
        <w:t>ibué à la proposition technique.</w:t>
      </w:r>
    </w:p>
    <w:p w14:paraId="77CD5241" w14:textId="2120D076" w:rsidR="00017E28" w:rsidRPr="00FC14BD" w:rsidRDefault="00017E28" w:rsidP="00017E28">
      <w:pPr>
        <w:autoSpaceDE w:val="0"/>
        <w:autoSpaceDN w:val="0"/>
        <w:adjustRightInd w:val="0"/>
        <w:jc w:val="both"/>
        <w:rPr>
          <w:lang w:val="fr-FR"/>
        </w:rPr>
      </w:pPr>
      <w:r w:rsidRPr="00FC14BD">
        <w:rPr>
          <w:lang w:val="fr-FR"/>
        </w:rPr>
        <w:t>Une offre qui ne répond pas aux critères d’éligibilité des TDR ou qui n’atteint pas le seuil technique minimal de qualification de 70 points sur 100 sera rejeté</w:t>
      </w:r>
      <w:r w:rsidR="00135C81">
        <w:rPr>
          <w:lang w:val="fr-FR"/>
        </w:rPr>
        <w:t>e</w:t>
      </w:r>
      <w:r w:rsidRPr="00FC14BD">
        <w:rPr>
          <w:lang w:val="fr-FR"/>
        </w:rPr>
        <w:t xml:space="preserve"> à l’issue de cette première étape.</w:t>
      </w:r>
    </w:p>
    <w:p w14:paraId="022FA5CA" w14:textId="4ED73BB6" w:rsidR="00017E28" w:rsidRDefault="00017E28" w:rsidP="00017E28">
      <w:pPr>
        <w:autoSpaceDE w:val="0"/>
        <w:autoSpaceDN w:val="0"/>
        <w:adjustRightInd w:val="0"/>
        <w:jc w:val="both"/>
        <w:rPr>
          <w:highlight w:val="yellow"/>
          <w:lang w:val="fr-FR"/>
        </w:rPr>
      </w:pPr>
    </w:p>
    <w:p w14:paraId="4C5BE588" w14:textId="77777777" w:rsidR="00F76682" w:rsidRPr="00F76682" w:rsidRDefault="00F76682" w:rsidP="00F76682">
      <w:pPr>
        <w:autoSpaceDE w:val="0"/>
        <w:autoSpaceDN w:val="0"/>
        <w:adjustRightInd w:val="0"/>
        <w:jc w:val="both"/>
        <w:rPr>
          <w:lang w:val="fr-FR"/>
        </w:rPr>
      </w:pPr>
      <w:r w:rsidRPr="00F76682">
        <w:rPr>
          <w:lang w:val="fr-FR"/>
        </w:rPr>
        <w:t>Les candidats présélectionnés peuvent être invités à un entretien pour approfondir l’évaluation technique.</w:t>
      </w:r>
    </w:p>
    <w:p w14:paraId="321A89DD" w14:textId="77777777" w:rsidR="00BE086E" w:rsidRPr="00FC14BD" w:rsidRDefault="00BE086E" w:rsidP="00017E28">
      <w:pPr>
        <w:autoSpaceDE w:val="0"/>
        <w:autoSpaceDN w:val="0"/>
        <w:adjustRightInd w:val="0"/>
        <w:jc w:val="both"/>
        <w:rPr>
          <w:highlight w:val="yellow"/>
          <w:lang w:val="fr-FR"/>
        </w:rPr>
      </w:pPr>
    </w:p>
    <w:p w14:paraId="78F7F2B2" w14:textId="308195A9" w:rsidR="00017E28" w:rsidRPr="00FC14BD" w:rsidRDefault="00FF2D4A" w:rsidP="00017E28">
      <w:pPr>
        <w:jc w:val="both"/>
        <w:rPr>
          <w:lang w:val="fr-FR"/>
        </w:rPr>
      </w:pPr>
      <w:r>
        <w:rPr>
          <w:b/>
          <w:lang w:val="fr-FR"/>
        </w:rPr>
        <w:t>Le score technique (St</w:t>
      </w:r>
      <w:r w:rsidR="00017E28" w:rsidRPr="00FC14BD">
        <w:rPr>
          <w:b/>
          <w:lang w:val="fr-FR"/>
        </w:rPr>
        <w:t>)</w:t>
      </w:r>
      <w:r w:rsidR="00017E28" w:rsidRPr="00FC14BD">
        <w:rPr>
          <w:lang w:val="fr-FR"/>
        </w:rPr>
        <w:t xml:space="preserve"> sera attribué selon le tableau ci-dessous :</w:t>
      </w:r>
    </w:p>
    <w:tbl>
      <w:tblPr>
        <w:tblW w:w="9120" w:type="dxa"/>
        <w:tblInd w:w="-10" w:type="dxa"/>
        <w:tblLook w:val="04A0" w:firstRow="1" w:lastRow="0" w:firstColumn="1" w:lastColumn="0" w:noHBand="0" w:noVBand="1"/>
      </w:tblPr>
      <w:tblGrid>
        <w:gridCol w:w="7580"/>
        <w:gridCol w:w="1540"/>
      </w:tblGrid>
      <w:tr w:rsidR="00017E28" w:rsidRPr="00C878D2" w14:paraId="7AAEFCFD"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8DB4E2"/>
            <w:noWrap/>
            <w:vAlign w:val="center"/>
            <w:hideMark/>
          </w:tcPr>
          <w:p w14:paraId="5B269F56" w14:textId="731A3D64" w:rsidR="00017E28" w:rsidRPr="00C878D2" w:rsidRDefault="00AA2BBC" w:rsidP="000E03A8">
            <w:pPr>
              <w:rPr>
                <w:rFonts w:eastAsia="Times New Roman" w:cs="Times New Roman"/>
                <w:b/>
                <w:bCs/>
              </w:rPr>
            </w:pPr>
            <w:r>
              <w:rPr>
                <w:rFonts w:eastAsia="Times New Roman" w:cs="Times New Roman"/>
                <w:b/>
                <w:bCs/>
              </w:rPr>
              <w:t xml:space="preserve">EVALUATION TECHNIQUE </w:t>
            </w:r>
            <w:r w:rsidR="00017E28" w:rsidRPr="00C878D2">
              <w:rPr>
                <w:rFonts w:eastAsia="Times New Roman" w:cs="Times New Roman"/>
                <w:b/>
                <w:bCs/>
              </w:rPr>
              <w:t xml:space="preserve">(max. 100 points) </w:t>
            </w:r>
          </w:p>
        </w:tc>
        <w:tc>
          <w:tcPr>
            <w:tcW w:w="1540" w:type="dxa"/>
            <w:tcBorders>
              <w:top w:val="nil"/>
              <w:left w:val="nil"/>
              <w:bottom w:val="single" w:sz="8" w:space="0" w:color="auto"/>
              <w:right w:val="single" w:sz="8" w:space="0" w:color="auto"/>
            </w:tcBorders>
            <w:shd w:val="clear" w:color="000000" w:fill="8DB4E2"/>
            <w:vAlign w:val="bottom"/>
            <w:hideMark/>
          </w:tcPr>
          <w:p w14:paraId="73BB7CC8" w14:textId="77777777" w:rsidR="00017E28" w:rsidRPr="00C878D2" w:rsidRDefault="00017E28" w:rsidP="000E03A8">
            <w:pPr>
              <w:jc w:val="center"/>
              <w:rPr>
                <w:rFonts w:eastAsia="Times New Roman" w:cs="Times New Roman"/>
                <w:b/>
                <w:bCs/>
              </w:rPr>
            </w:pPr>
            <w:r w:rsidRPr="00C878D2">
              <w:rPr>
                <w:rFonts w:eastAsia="Times New Roman" w:cs="Times New Roman"/>
                <w:b/>
                <w:bCs/>
              </w:rPr>
              <w:t> </w:t>
            </w:r>
          </w:p>
        </w:tc>
      </w:tr>
      <w:tr w:rsidR="00017E28" w:rsidRPr="00C878D2" w14:paraId="4AFB0242"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262C6B53" w14:textId="77777777" w:rsidR="00017E28" w:rsidRPr="00C878D2" w:rsidRDefault="00017E28" w:rsidP="000E03A8">
            <w:pPr>
              <w:jc w:val="both"/>
              <w:rPr>
                <w:rFonts w:eastAsia="Times New Roman" w:cs="Times New Roman"/>
                <w:b/>
                <w:bCs/>
              </w:rPr>
            </w:pPr>
            <w:proofErr w:type="spellStart"/>
            <w:r w:rsidRPr="00C878D2">
              <w:rPr>
                <w:rFonts w:eastAsia="Times New Roman" w:cs="Times New Roman"/>
                <w:b/>
                <w:bCs/>
              </w:rPr>
              <w:t>Réponse</w:t>
            </w:r>
            <w:proofErr w:type="spellEnd"/>
            <w:r w:rsidRPr="00C878D2">
              <w:rPr>
                <w:rFonts w:eastAsia="Times New Roman" w:cs="Times New Roman"/>
                <w:b/>
                <w:bCs/>
              </w:rPr>
              <w:t xml:space="preserve"> </w:t>
            </w:r>
            <w:proofErr w:type="spellStart"/>
            <w:r w:rsidRPr="00C878D2">
              <w:rPr>
                <w:rFonts w:eastAsia="Times New Roman" w:cs="Times New Roman"/>
                <w:b/>
                <w:bCs/>
              </w:rPr>
              <w:t>globale</w:t>
            </w:r>
            <w:proofErr w:type="spellEnd"/>
            <w:r w:rsidRPr="00C878D2">
              <w:rPr>
                <w:rFonts w:eastAsia="Times New Roman" w:cs="Times New Roman"/>
                <w:b/>
                <w:bCs/>
              </w:rPr>
              <w:t xml:space="preserve"> (20 points)</w:t>
            </w:r>
          </w:p>
        </w:tc>
        <w:tc>
          <w:tcPr>
            <w:tcW w:w="1540" w:type="dxa"/>
            <w:tcBorders>
              <w:top w:val="nil"/>
              <w:left w:val="nil"/>
              <w:bottom w:val="single" w:sz="8" w:space="0" w:color="auto"/>
              <w:right w:val="single" w:sz="8" w:space="0" w:color="auto"/>
            </w:tcBorders>
            <w:shd w:val="clear" w:color="000000" w:fill="DDEBF7"/>
            <w:vAlign w:val="bottom"/>
            <w:hideMark/>
          </w:tcPr>
          <w:p w14:paraId="111E1AE8" w14:textId="77777777" w:rsidR="00017E28" w:rsidRPr="00C878D2" w:rsidRDefault="00017E28" w:rsidP="000E03A8">
            <w:pPr>
              <w:jc w:val="center"/>
              <w:rPr>
                <w:rFonts w:eastAsia="Times New Roman" w:cs="Times New Roman"/>
                <w:b/>
                <w:bCs/>
              </w:rPr>
            </w:pPr>
            <w:r w:rsidRPr="00C878D2">
              <w:rPr>
                <w:rFonts w:eastAsia="Times New Roman" w:cs="Times New Roman"/>
                <w:b/>
                <w:bCs/>
              </w:rPr>
              <w:t> </w:t>
            </w:r>
          </w:p>
        </w:tc>
      </w:tr>
      <w:tr w:rsidR="000A0B2C" w:rsidRPr="00C878D2" w14:paraId="4D13CEB1" w14:textId="77777777" w:rsidTr="00344A3A">
        <w:trPr>
          <w:trHeight w:val="397"/>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1A927EDD" w14:textId="6003C721" w:rsidR="000A0B2C" w:rsidRPr="00017E28" w:rsidRDefault="000A0B2C" w:rsidP="000A0B2C">
            <w:pPr>
              <w:rPr>
                <w:rFonts w:eastAsia="Times New Roman" w:cs="Times New Roman"/>
                <w:lang w:val="fr-FR"/>
              </w:rPr>
            </w:pPr>
            <w:r w:rsidRPr="000A0B2C">
              <w:rPr>
                <w:rFonts w:ascii="Georgia" w:hAnsi="Georgia"/>
                <w:lang w:val="fr-FR"/>
              </w:rPr>
              <w:t>Exhaustivité de la réponse et de la compréhension des besoins et des objectifs du TDR.</w:t>
            </w:r>
          </w:p>
        </w:tc>
        <w:tc>
          <w:tcPr>
            <w:tcW w:w="1540" w:type="dxa"/>
            <w:tcBorders>
              <w:top w:val="nil"/>
              <w:left w:val="nil"/>
              <w:bottom w:val="single" w:sz="8" w:space="0" w:color="auto"/>
              <w:right w:val="single" w:sz="8" w:space="0" w:color="auto"/>
            </w:tcBorders>
            <w:shd w:val="clear" w:color="auto" w:fill="auto"/>
            <w:hideMark/>
          </w:tcPr>
          <w:p w14:paraId="3F929C0B" w14:textId="77777777" w:rsidR="000A0B2C" w:rsidRPr="000A0B2C" w:rsidRDefault="000A0B2C" w:rsidP="000A0B2C">
            <w:pPr>
              <w:spacing w:line="222" w:lineRule="exact"/>
              <w:jc w:val="right"/>
              <w:rPr>
                <w:rFonts w:ascii="Georgia" w:hAnsi="Georgia"/>
                <w:szCs w:val="20"/>
                <w:lang w:val="fr-FR"/>
              </w:rPr>
            </w:pPr>
          </w:p>
          <w:p w14:paraId="01199272" w14:textId="7679296F" w:rsidR="000A0B2C" w:rsidRPr="00C878D2" w:rsidRDefault="000A0B2C" w:rsidP="000A0B2C">
            <w:pPr>
              <w:jc w:val="center"/>
              <w:rPr>
                <w:rFonts w:eastAsia="Times New Roman" w:cs="Times New Roman"/>
              </w:rPr>
            </w:pPr>
            <w:r w:rsidRPr="003F00AF">
              <w:rPr>
                <w:rFonts w:ascii="Georgia" w:hAnsi="Georgia"/>
                <w:szCs w:val="20"/>
              </w:rPr>
              <w:t>15</w:t>
            </w:r>
          </w:p>
        </w:tc>
      </w:tr>
      <w:tr w:rsidR="000A0B2C" w:rsidRPr="00C878D2" w14:paraId="1F44BAEA"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0BED4DBF" w14:textId="6A31B98B" w:rsidR="000A0B2C" w:rsidRPr="00017E28" w:rsidRDefault="000A0B2C" w:rsidP="000A0B2C">
            <w:pPr>
              <w:rPr>
                <w:rFonts w:eastAsia="Times New Roman" w:cs="Times New Roman"/>
                <w:lang w:val="fr-FR"/>
              </w:rPr>
            </w:pPr>
            <w:r w:rsidRPr="000A0B2C">
              <w:rPr>
                <w:rFonts w:ascii="Georgia" w:hAnsi="Georgia"/>
                <w:lang w:val="fr-FR"/>
              </w:rPr>
              <w:t>Concordance globale entre les exigences de termes de références et la proposition</w:t>
            </w:r>
          </w:p>
        </w:tc>
        <w:tc>
          <w:tcPr>
            <w:tcW w:w="1540" w:type="dxa"/>
            <w:tcBorders>
              <w:top w:val="nil"/>
              <w:left w:val="nil"/>
              <w:bottom w:val="single" w:sz="8" w:space="0" w:color="auto"/>
              <w:right w:val="single" w:sz="8" w:space="0" w:color="auto"/>
            </w:tcBorders>
            <w:shd w:val="clear" w:color="auto" w:fill="auto"/>
            <w:hideMark/>
          </w:tcPr>
          <w:p w14:paraId="18161A63" w14:textId="77777777" w:rsidR="000A0B2C" w:rsidRPr="000A0B2C" w:rsidRDefault="000A0B2C" w:rsidP="000A0B2C">
            <w:pPr>
              <w:spacing w:line="222" w:lineRule="exact"/>
              <w:jc w:val="right"/>
              <w:rPr>
                <w:rFonts w:ascii="Georgia" w:hAnsi="Georgia"/>
                <w:szCs w:val="20"/>
                <w:lang w:val="fr-FR"/>
              </w:rPr>
            </w:pPr>
          </w:p>
          <w:p w14:paraId="29CC577A" w14:textId="22FEF586" w:rsidR="000A0B2C" w:rsidRPr="00C878D2" w:rsidRDefault="000A0B2C" w:rsidP="000A0B2C">
            <w:pPr>
              <w:jc w:val="center"/>
              <w:rPr>
                <w:rFonts w:eastAsia="Times New Roman" w:cs="Times New Roman"/>
              </w:rPr>
            </w:pPr>
            <w:r w:rsidRPr="003F00AF">
              <w:rPr>
                <w:rFonts w:ascii="Georgia" w:hAnsi="Georgia"/>
                <w:szCs w:val="20"/>
              </w:rPr>
              <w:t>5</w:t>
            </w:r>
          </w:p>
        </w:tc>
      </w:tr>
      <w:tr w:rsidR="00543A74" w:rsidRPr="00697327" w14:paraId="400E2160" w14:textId="77777777" w:rsidTr="00543A74">
        <w:trPr>
          <w:trHeight w:val="330"/>
        </w:trPr>
        <w:tc>
          <w:tcPr>
            <w:tcW w:w="7580" w:type="dxa"/>
            <w:tcBorders>
              <w:top w:val="nil"/>
              <w:left w:val="single" w:sz="8" w:space="0" w:color="auto"/>
              <w:bottom w:val="single" w:sz="8" w:space="0" w:color="auto"/>
              <w:right w:val="single" w:sz="8" w:space="0" w:color="auto"/>
            </w:tcBorders>
            <w:shd w:val="clear" w:color="auto" w:fill="D9E2F3" w:themeFill="accent1" w:themeFillTint="33"/>
          </w:tcPr>
          <w:p w14:paraId="159D52B8" w14:textId="6DC13151" w:rsidR="00543A74" w:rsidRPr="000A0B2C" w:rsidRDefault="00543A74" w:rsidP="00543A74">
            <w:pPr>
              <w:jc w:val="both"/>
              <w:rPr>
                <w:rFonts w:ascii="Georgia" w:hAnsi="Georgia"/>
                <w:lang w:val="fr-FR"/>
              </w:rPr>
            </w:pPr>
            <w:r w:rsidRPr="009B6ADD">
              <w:rPr>
                <w:rFonts w:eastAsia="Times New Roman" w:cs="Times New Roman"/>
                <w:b/>
                <w:bCs/>
                <w:lang w:val="fr-FR"/>
              </w:rPr>
              <w:t>Expérience globale du consultant (e) et la capacité de compléter ce projet en temps opportun (50 Points)</w:t>
            </w:r>
          </w:p>
        </w:tc>
        <w:tc>
          <w:tcPr>
            <w:tcW w:w="1540" w:type="dxa"/>
            <w:tcBorders>
              <w:top w:val="nil"/>
              <w:left w:val="nil"/>
              <w:bottom w:val="single" w:sz="8" w:space="0" w:color="auto"/>
              <w:right w:val="single" w:sz="8" w:space="0" w:color="auto"/>
            </w:tcBorders>
            <w:shd w:val="clear" w:color="auto" w:fill="auto"/>
          </w:tcPr>
          <w:p w14:paraId="4F7B162A" w14:textId="77777777" w:rsidR="00543A74" w:rsidRPr="000A0B2C" w:rsidRDefault="00543A74" w:rsidP="00543A74">
            <w:pPr>
              <w:spacing w:line="222" w:lineRule="exact"/>
              <w:jc w:val="right"/>
              <w:rPr>
                <w:rFonts w:ascii="Georgia" w:hAnsi="Georgia"/>
                <w:szCs w:val="20"/>
                <w:lang w:val="fr-FR"/>
              </w:rPr>
            </w:pPr>
          </w:p>
        </w:tc>
      </w:tr>
      <w:tr w:rsidR="00543A74" w:rsidRPr="00543A74" w14:paraId="1B93A03C"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tcPr>
          <w:p w14:paraId="6F9F3E92" w14:textId="278DE278" w:rsidR="00543A74" w:rsidRPr="000A0B2C" w:rsidRDefault="00543A74" w:rsidP="00543A74">
            <w:pPr>
              <w:rPr>
                <w:rFonts w:ascii="Georgia" w:hAnsi="Georgia"/>
                <w:lang w:val="fr-FR"/>
              </w:rPr>
            </w:pPr>
            <w:r w:rsidRPr="00543A74">
              <w:rPr>
                <w:rFonts w:ascii="Georgia" w:hAnsi="Georgia"/>
                <w:lang w:val="fr-FR"/>
              </w:rPr>
              <w:lastRenderedPageBreak/>
              <w:t>Le profil et la pertinence de l'expérience et des qualifications du consultant (e)</w:t>
            </w:r>
          </w:p>
        </w:tc>
        <w:tc>
          <w:tcPr>
            <w:tcW w:w="1540" w:type="dxa"/>
            <w:tcBorders>
              <w:top w:val="nil"/>
              <w:left w:val="nil"/>
              <w:bottom w:val="single" w:sz="8" w:space="0" w:color="auto"/>
              <w:right w:val="single" w:sz="8" w:space="0" w:color="auto"/>
            </w:tcBorders>
            <w:shd w:val="clear" w:color="auto" w:fill="auto"/>
          </w:tcPr>
          <w:p w14:paraId="4B306B5D" w14:textId="6CBA53D7" w:rsidR="00543A74" w:rsidRPr="006D5959" w:rsidRDefault="00543A74" w:rsidP="00543A74">
            <w:pPr>
              <w:jc w:val="center"/>
              <w:rPr>
                <w:rFonts w:ascii="Georgia" w:hAnsi="Georgia"/>
                <w:szCs w:val="20"/>
              </w:rPr>
            </w:pPr>
            <w:r w:rsidRPr="006D5959">
              <w:rPr>
                <w:rFonts w:ascii="Georgia" w:hAnsi="Georgia"/>
                <w:szCs w:val="20"/>
              </w:rPr>
              <w:t>30</w:t>
            </w:r>
          </w:p>
        </w:tc>
      </w:tr>
      <w:tr w:rsidR="00543A74" w:rsidRPr="00543A74" w14:paraId="64E74B9B"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tcPr>
          <w:p w14:paraId="46497004" w14:textId="7215EAB0" w:rsidR="00543A74" w:rsidRPr="000A0B2C" w:rsidRDefault="00543A74" w:rsidP="00543A74">
            <w:pPr>
              <w:rPr>
                <w:rFonts w:ascii="Georgia" w:hAnsi="Georgia"/>
                <w:lang w:val="fr-FR"/>
              </w:rPr>
            </w:pPr>
            <w:r w:rsidRPr="00543A74">
              <w:rPr>
                <w:rFonts w:ascii="Georgia" w:hAnsi="Georgia"/>
                <w:lang w:val="fr-FR"/>
              </w:rPr>
              <w:t>Expérience prouvée en matière de santé communautaire</w:t>
            </w:r>
          </w:p>
        </w:tc>
        <w:tc>
          <w:tcPr>
            <w:tcW w:w="1540" w:type="dxa"/>
            <w:tcBorders>
              <w:top w:val="nil"/>
              <w:left w:val="nil"/>
              <w:bottom w:val="single" w:sz="8" w:space="0" w:color="auto"/>
              <w:right w:val="single" w:sz="8" w:space="0" w:color="auto"/>
            </w:tcBorders>
            <w:shd w:val="clear" w:color="auto" w:fill="auto"/>
          </w:tcPr>
          <w:p w14:paraId="0A5B2000" w14:textId="34CEA1A7" w:rsidR="00543A74" w:rsidRPr="006D5959" w:rsidRDefault="00543A74" w:rsidP="00543A74">
            <w:pPr>
              <w:jc w:val="center"/>
              <w:rPr>
                <w:rFonts w:ascii="Georgia" w:hAnsi="Georgia"/>
                <w:szCs w:val="20"/>
              </w:rPr>
            </w:pPr>
            <w:r w:rsidRPr="009B6ADD">
              <w:rPr>
                <w:rFonts w:ascii="Georgia" w:hAnsi="Georgia"/>
                <w:szCs w:val="20"/>
                <w:lang w:val="fr-FR"/>
              </w:rPr>
              <w:t xml:space="preserve"> </w:t>
            </w:r>
            <w:r w:rsidRPr="006D5959">
              <w:rPr>
                <w:rFonts w:ascii="Georgia" w:hAnsi="Georgia"/>
                <w:szCs w:val="20"/>
              </w:rPr>
              <w:t>20</w:t>
            </w:r>
          </w:p>
        </w:tc>
      </w:tr>
      <w:tr w:rsidR="00543A74" w:rsidRPr="00697327" w14:paraId="18268F52"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2AC36373" w14:textId="29A932F7" w:rsidR="00543A74" w:rsidRPr="00017E28" w:rsidRDefault="00543A74" w:rsidP="00543A74">
            <w:pPr>
              <w:jc w:val="both"/>
              <w:rPr>
                <w:rFonts w:eastAsia="Times New Roman" w:cs="Times New Roman"/>
                <w:b/>
                <w:bCs/>
                <w:lang w:val="fr-FR"/>
              </w:rPr>
            </w:pPr>
            <w:r w:rsidRPr="00017E28">
              <w:rPr>
                <w:rFonts w:eastAsia="Times New Roman" w:cs="Times New Roman"/>
                <w:b/>
                <w:bCs/>
                <w:lang w:val="fr-FR"/>
              </w:rPr>
              <w:t>Métho</w:t>
            </w:r>
            <w:r>
              <w:rPr>
                <w:rFonts w:eastAsia="Times New Roman" w:cs="Times New Roman"/>
                <w:b/>
                <w:bCs/>
                <w:lang w:val="fr-FR"/>
              </w:rPr>
              <w:t>dologie et approche proposée (</w:t>
            </w:r>
            <w:r w:rsidR="006D5959">
              <w:rPr>
                <w:rFonts w:eastAsia="Times New Roman" w:cs="Times New Roman"/>
                <w:b/>
                <w:bCs/>
                <w:lang w:val="fr-FR"/>
              </w:rPr>
              <w:t>30</w:t>
            </w:r>
            <w:r w:rsidRPr="00017E28">
              <w:rPr>
                <w:rFonts w:eastAsia="Times New Roman" w:cs="Times New Roman"/>
                <w:b/>
                <w:bCs/>
                <w:lang w:val="fr-FR"/>
              </w:rPr>
              <w:t xml:space="preserve"> points)</w:t>
            </w:r>
          </w:p>
        </w:tc>
        <w:tc>
          <w:tcPr>
            <w:tcW w:w="1540" w:type="dxa"/>
            <w:tcBorders>
              <w:top w:val="nil"/>
              <w:left w:val="nil"/>
              <w:bottom w:val="single" w:sz="8" w:space="0" w:color="auto"/>
              <w:right w:val="single" w:sz="8" w:space="0" w:color="auto"/>
            </w:tcBorders>
            <w:shd w:val="clear" w:color="000000" w:fill="DDEBF7"/>
            <w:vAlign w:val="center"/>
            <w:hideMark/>
          </w:tcPr>
          <w:p w14:paraId="24CAEE59" w14:textId="77777777" w:rsidR="00543A74" w:rsidRPr="00017E28" w:rsidRDefault="00543A74" w:rsidP="00543A74">
            <w:pPr>
              <w:jc w:val="center"/>
              <w:rPr>
                <w:rFonts w:eastAsia="Times New Roman" w:cs="Times New Roman"/>
                <w:b/>
                <w:bCs/>
                <w:lang w:val="fr-FR"/>
              </w:rPr>
            </w:pPr>
            <w:r w:rsidRPr="00017E28">
              <w:rPr>
                <w:rFonts w:eastAsia="Times New Roman" w:cs="Times New Roman"/>
                <w:b/>
                <w:bCs/>
                <w:lang w:val="fr-FR"/>
              </w:rPr>
              <w:t> </w:t>
            </w:r>
          </w:p>
        </w:tc>
      </w:tr>
      <w:tr w:rsidR="006D5959" w:rsidRPr="00C878D2" w14:paraId="19194C9E" w14:textId="77777777" w:rsidTr="0073288D">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1A54FF1A" w14:textId="11660ED0" w:rsidR="006D5959" w:rsidRPr="006D5959" w:rsidRDefault="006D5959" w:rsidP="006D5959">
            <w:pPr>
              <w:rPr>
                <w:rFonts w:ascii="Georgia" w:hAnsi="Georgia"/>
                <w:lang w:val="fr-FR"/>
              </w:rPr>
            </w:pPr>
            <w:r w:rsidRPr="006D5959">
              <w:rPr>
                <w:rFonts w:ascii="Georgia" w:hAnsi="Georgia"/>
                <w:lang w:val="fr-FR"/>
              </w:rPr>
              <w:t>Méthodologie proposée – Outils utilisés</w:t>
            </w:r>
          </w:p>
        </w:tc>
        <w:tc>
          <w:tcPr>
            <w:tcW w:w="1540" w:type="dxa"/>
            <w:tcBorders>
              <w:top w:val="nil"/>
              <w:left w:val="nil"/>
              <w:bottom w:val="single" w:sz="8" w:space="0" w:color="auto"/>
              <w:right w:val="single" w:sz="8" w:space="0" w:color="auto"/>
            </w:tcBorders>
            <w:shd w:val="clear" w:color="auto" w:fill="auto"/>
            <w:hideMark/>
          </w:tcPr>
          <w:p w14:paraId="49CB58C5" w14:textId="6F19A31D" w:rsidR="006D5959" w:rsidRPr="00C878D2" w:rsidRDefault="006D5959" w:rsidP="006D5959">
            <w:pPr>
              <w:jc w:val="center"/>
              <w:rPr>
                <w:rFonts w:eastAsia="Times New Roman" w:cs="Times New Roman"/>
              </w:rPr>
            </w:pPr>
            <w:r w:rsidRPr="003F00AF">
              <w:rPr>
                <w:rFonts w:ascii="Georgia" w:hAnsi="Georgia"/>
                <w:szCs w:val="20"/>
              </w:rPr>
              <w:t>25</w:t>
            </w:r>
          </w:p>
        </w:tc>
      </w:tr>
      <w:tr w:rsidR="006D5959" w:rsidRPr="00C878D2" w14:paraId="2FC01382" w14:textId="77777777" w:rsidTr="0073288D">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7A9D1513" w14:textId="48B91A83" w:rsidR="006D5959" w:rsidRPr="006D5959" w:rsidRDefault="006D5959" w:rsidP="006D5959">
            <w:pPr>
              <w:rPr>
                <w:rFonts w:ascii="Georgia" w:hAnsi="Georgia"/>
                <w:lang w:val="fr-FR"/>
              </w:rPr>
            </w:pPr>
            <w:r w:rsidRPr="006D5959">
              <w:rPr>
                <w:rFonts w:ascii="Georgia" w:hAnsi="Georgia"/>
                <w:lang w:val="fr-FR"/>
              </w:rPr>
              <w:t>Echéancier proposé</w:t>
            </w:r>
          </w:p>
        </w:tc>
        <w:tc>
          <w:tcPr>
            <w:tcW w:w="1540" w:type="dxa"/>
            <w:tcBorders>
              <w:top w:val="nil"/>
              <w:left w:val="nil"/>
              <w:bottom w:val="single" w:sz="8" w:space="0" w:color="auto"/>
              <w:right w:val="single" w:sz="8" w:space="0" w:color="auto"/>
            </w:tcBorders>
            <w:shd w:val="clear" w:color="auto" w:fill="auto"/>
            <w:hideMark/>
          </w:tcPr>
          <w:p w14:paraId="773E6546" w14:textId="6E409750" w:rsidR="006D5959" w:rsidRPr="00C878D2" w:rsidRDefault="006D5959" w:rsidP="006D5959">
            <w:pPr>
              <w:jc w:val="center"/>
              <w:rPr>
                <w:rFonts w:eastAsia="Times New Roman" w:cs="Times New Roman"/>
              </w:rPr>
            </w:pPr>
            <w:r w:rsidRPr="003F00AF">
              <w:rPr>
                <w:rFonts w:ascii="Georgia" w:hAnsi="Georgia"/>
                <w:szCs w:val="20"/>
              </w:rPr>
              <w:t>05</w:t>
            </w:r>
          </w:p>
        </w:tc>
      </w:tr>
      <w:tr w:rsidR="006D5959" w:rsidRPr="00C878D2" w14:paraId="5820E66D"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C5D9F1"/>
            <w:noWrap/>
            <w:vAlign w:val="center"/>
            <w:hideMark/>
          </w:tcPr>
          <w:p w14:paraId="6C307A90" w14:textId="77777777" w:rsidR="006D5959" w:rsidRPr="00017E28" w:rsidRDefault="006D5959" w:rsidP="006D5959">
            <w:pPr>
              <w:rPr>
                <w:rFonts w:eastAsia="Times New Roman" w:cs="Times New Roman"/>
                <w:b/>
                <w:bCs/>
                <w:lang w:val="fr-FR"/>
              </w:rPr>
            </w:pPr>
            <w:r w:rsidRPr="00017E28">
              <w:rPr>
                <w:rFonts w:eastAsia="Times New Roman" w:cs="Times New Roman"/>
                <w:b/>
                <w:bCs/>
                <w:lang w:val="fr-FR"/>
              </w:rPr>
              <w:t>EVALUATION TECHNIQUE - Total des Points</w:t>
            </w:r>
          </w:p>
        </w:tc>
        <w:tc>
          <w:tcPr>
            <w:tcW w:w="1540" w:type="dxa"/>
            <w:tcBorders>
              <w:top w:val="nil"/>
              <w:left w:val="nil"/>
              <w:bottom w:val="single" w:sz="8" w:space="0" w:color="auto"/>
              <w:right w:val="single" w:sz="8" w:space="0" w:color="auto"/>
            </w:tcBorders>
            <w:shd w:val="clear" w:color="000000" w:fill="C5D9F1"/>
            <w:vAlign w:val="bottom"/>
            <w:hideMark/>
          </w:tcPr>
          <w:p w14:paraId="1ADAD4C2" w14:textId="77777777" w:rsidR="006D5959" w:rsidRPr="00C878D2" w:rsidRDefault="006D5959" w:rsidP="006D5959">
            <w:pPr>
              <w:jc w:val="center"/>
              <w:rPr>
                <w:rFonts w:eastAsia="Times New Roman" w:cs="Times New Roman"/>
                <w:b/>
                <w:bCs/>
              </w:rPr>
            </w:pPr>
            <w:r w:rsidRPr="00C878D2">
              <w:rPr>
                <w:rFonts w:eastAsia="Times New Roman" w:cs="Times New Roman"/>
                <w:b/>
                <w:bCs/>
              </w:rPr>
              <w:t>100</w:t>
            </w:r>
          </w:p>
        </w:tc>
      </w:tr>
    </w:tbl>
    <w:p w14:paraId="0134B62C" w14:textId="77777777" w:rsidR="00017E28" w:rsidRDefault="00017E28" w:rsidP="00017E28">
      <w:pPr>
        <w:jc w:val="both"/>
        <w:rPr>
          <w:sz w:val="20"/>
          <w:lang w:val="fr-FR"/>
        </w:rPr>
      </w:pPr>
    </w:p>
    <w:p w14:paraId="5E3D6FE7" w14:textId="244420E5" w:rsidR="00017E28" w:rsidRPr="003A157A" w:rsidRDefault="00017E28" w:rsidP="003A157A">
      <w:pPr>
        <w:pStyle w:val="Heading2"/>
      </w:pPr>
      <w:bookmarkStart w:id="23" w:name="_Toc445378920"/>
      <w:bookmarkStart w:id="24" w:name="_Toc454462185"/>
      <w:bookmarkStart w:id="25" w:name="_Toc488923925"/>
      <w:bookmarkStart w:id="26" w:name="_Toc510629126"/>
      <w:r w:rsidRPr="003A157A">
        <w:t>Evaluation de l’offre financière (pondération de 20% de la note globale)</w:t>
      </w:r>
      <w:bookmarkEnd w:id="23"/>
      <w:bookmarkEnd w:id="24"/>
      <w:bookmarkEnd w:id="25"/>
      <w:bookmarkEnd w:id="26"/>
    </w:p>
    <w:p w14:paraId="75FADA6A" w14:textId="77777777" w:rsidR="00017E28" w:rsidRPr="00FC14BD" w:rsidRDefault="00017E28" w:rsidP="00017E28">
      <w:pPr>
        <w:jc w:val="both"/>
        <w:rPr>
          <w:bCs/>
          <w:lang w:val="fr-FR"/>
        </w:rPr>
      </w:pPr>
      <w:r w:rsidRPr="00FC14BD">
        <w:rPr>
          <w:bCs/>
          <w:lang w:val="fr-FR"/>
        </w:rPr>
        <w:t xml:space="preserve">La proposition financière de l’offre économiquement la moins chère (Om) appréciée en fonction du prix Global et de la cohérence dans la décomposition du prix global recevra </w:t>
      </w:r>
      <w:r w:rsidRPr="00FC14BD">
        <w:rPr>
          <w:b/>
          <w:bCs/>
          <w:lang w:val="fr-FR"/>
        </w:rPr>
        <w:t>un score financier (</w:t>
      </w:r>
      <w:proofErr w:type="spellStart"/>
      <w:r w:rsidRPr="00FC14BD">
        <w:rPr>
          <w:b/>
          <w:bCs/>
          <w:lang w:val="fr-FR"/>
        </w:rPr>
        <w:t>Sf</w:t>
      </w:r>
      <w:proofErr w:type="spellEnd"/>
      <w:r w:rsidRPr="00FC14BD">
        <w:rPr>
          <w:b/>
          <w:bCs/>
          <w:lang w:val="fr-FR"/>
        </w:rPr>
        <w:t>)</w:t>
      </w:r>
      <w:r w:rsidRPr="00FC14BD">
        <w:rPr>
          <w:bCs/>
          <w:lang w:val="fr-FR"/>
        </w:rPr>
        <w:t xml:space="preserve"> de 100 points. Les scores financiers des autres offres (F) seront calculés selon la formule suivante : </w:t>
      </w:r>
    </w:p>
    <w:p w14:paraId="339A1696" w14:textId="77777777" w:rsidR="00017E28" w:rsidRPr="00FC14BD" w:rsidRDefault="00017E28" w:rsidP="00017E28">
      <w:pPr>
        <w:jc w:val="center"/>
        <w:rPr>
          <w:b/>
          <w:lang w:val="fr-FR"/>
        </w:rPr>
      </w:pPr>
      <w:proofErr w:type="spellStart"/>
      <w:r w:rsidRPr="00FC14BD">
        <w:rPr>
          <w:b/>
          <w:lang w:val="fr-FR"/>
        </w:rPr>
        <w:t>Sf</w:t>
      </w:r>
      <w:proofErr w:type="spellEnd"/>
      <w:r w:rsidRPr="00FC14BD">
        <w:rPr>
          <w:b/>
          <w:lang w:val="fr-FR"/>
        </w:rPr>
        <w:t xml:space="preserve"> = 100 x Om/F</w:t>
      </w:r>
    </w:p>
    <w:p w14:paraId="3961388E" w14:textId="77777777" w:rsidR="00017E28" w:rsidRPr="00FC14BD" w:rsidRDefault="00017E28" w:rsidP="00017E28">
      <w:pPr>
        <w:rPr>
          <w:bCs/>
          <w:i/>
          <w:iCs/>
          <w:lang w:val="fr-FR"/>
        </w:rPr>
      </w:pPr>
      <w:r w:rsidRPr="00FC14BD">
        <w:rPr>
          <w:b/>
          <w:bCs/>
          <w:i/>
          <w:iCs/>
          <w:lang w:val="fr-FR"/>
        </w:rPr>
        <w:t>Om</w:t>
      </w:r>
      <w:r w:rsidRPr="00FC14BD">
        <w:rPr>
          <w:bCs/>
          <w:i/>
          <w:iCs/>
          <w:lang w:val="fr-FR"/>
        </w:rPr>
        <w:t> : l’offre économiquement la moins chère</w:t>
      </w:r>
    </w:p>
    <w:p w14:paraId="2CFE9075" w14:textId="57B95728" w:rsidR="00735C70" w:rsidRPr="00B40572" w:rsidRDefault="00017E28" w:rsidP="00B40572">
      <w:pPr>
        <w:rPr>
          <w:bCs/>
          <w:i/>
          <w:iCs/>
        </w:rPr>
      </w:pPr>
      <w:proofErr w:type="gramStart"/>
      <w:r w:rsidRPr="00FC14BD">
        <w:rPr>
          <w:b/>
          <w:bCs/>
          <w:i/>
          <w:iCs/>
        </w:rPr>
        <w:t>F </w:t>
      </w:r>
      <w:r w:rsidRPr="00FC14BD">
        <w:rPr>
          <w:bCs/>
          <w:i/>
          <w:iCs/>
        </w:rPr>
        <w:t>:</w:t>
      </w:r>
      <w:proofErr w:type="gramEnd"/>
      <w:r w:rsidRPr="00FC14BD">
        <w:rPr>
          <w:bCs/>
          <w:i/>
          <w:iCs/>
        </w:rPr>
        <w:t xml:space="preserve"> Prix de </w:t>
      </w:r>
      <w:proofErr w:type="spellStart"/>
      <w:r w:rsidRPr="00FC14BD">
        <w:rPr>
          <w:bCs/>
          <w:i/>
          <w:iCs/>
        </w:rPr>
        <w:t>l’offre</w:t>
      </w:r>
      <w:bookmarkStart w:id="27" w:name="_Toc445378921"/>
      <w:bookmarkStart w:id="28" w:name="_Toc454462186"/>
      <w:bookmarkStart w:id="29" w:name="_Toc488923926"/>
      <w:proofErr w:type="spellEnd"/>
      <w:r w:rsidR="00735C70">
        <w:br w:type="page"/>
      </w:r>
    </w:p>
    <w:p w14:paraId="24D3A83A" w14:textId="324C1CED" w:rsidR="00017E28" w:rsidRPr="005C55D6" w:rsidRDefault="00017E28" w:rsidP="003A157A">
      <w:pPr>
        <w:pStyle w:val="Heading2"/>
        <w:rPr>
          <w:snapToGrid/>
        </w:rPr>
      </w:pPr>
      <w:bookmarkStart w:id="30" w:name="_Toc510629127"/>
      <w:r w:rsidRPr="005C55D6">
        <w:rPr>
          <w:snapToGrid/>
        </w:rPr>
        <w:lastRenderedPageBreak/>
        <w:t>Evaluation Finale de l’offre globale</w:t>
      </w:r>
      <w:bookmarkEnd w:id="27"/>
      <w:bookmarkEnd w:id="28"/>
      <w:bookmarkEnd w:id="29"/>
      <w:bookmarkEnd w:id="30"/>
    </w:p>
    <w:p w14:paraId="66E97982" w14:textId="0F599855" w:rsidR="00017E28" w:rsidRPr="00FC14BD" w:rsidRDefault="00017E28" w:rsidP="00017E28">
      <w:pPr>
        <w:autoSpaceDE w:val="0"/>
        <w:autoSpaceDN w:val="0"/>
        <w:adjustRightInd w:val="0"/>
        <w:jc w:val="both"/>
        <w:rPr>
          <w:lang w:val="fr-FR"/>
        </w:rPr>
      </w:pPr>
      <w:r w:rsidRPr="00FC14BD">
        <w:rPr>
          <w:lang w:val="fr-FR"/>
        </w:rPr>
        <w:t>L’évaluation finale de l’offre sera faite en fonction d’une pondération des Critères d'évaluation Technique et Financière</w:t>
      </w:r>
      <w:r w:rsidR="00AA2BBC">
        <w:rPr>
          <w:lang w:val="fr-FR"/>
        </w:rPr>
        <w:t xml:space="preserve"> </w:t>
      </w:r>
      <w:r w:rsidRPr="00FC14BD">
        <w:rPr>
          <w:lang w:val="fr-FR"/>
        </w:rPr>
        <w:t>:</w:t>
      </w:r>
    </w:p>
    <w:p w14:paraId="25E75229" w14:textId="77777777" w:rsidR="00017E28" w:rsidRPr="00FC14BD" w:rsidRDefault="00017E28" w:rsidP="00017E28">
      <w:pPr>
        <w:jc w:val="both"/>
        <w:rPr>
          <w:lang w:val="fr-FR"/>
        </w:rPr>
      </w:pPr>
      <w:r w:rsidRPr="00FC14BD">
        <w:rPr>
          <w:lang w:val="fr-FR"/>
        </w:rPr>
        <w:t xml:space="preserve">Le </w:t>
      </w:r>
      <w:r w:rsidRPr="00FC14BD">
        <w:rPr>
          <w:b/>
          <w:lang w:val="fr-FR"/>
        </w:rPr>
        <w:t>score technique (St)</w:t>
      </w:r>
      <w:r w:rsidRPr="00FC14BD">
        <w:rPr>
          <w:lang w:val="fr-FR"/>
        </w:rPr>
        <w:t xml:space="preserve"> et le </w:t>
      </w:r>
      <w:r w:rsidRPr="00FC14BD">
        <w:rPr>
          <w:b/>
          <w:lang w:val="fr-FR"/>
        </w:rPr>
        <w:t>score financier (</w:t>
      </w:r>
      <w:proofErr w:type="spellStart"/>
      <w:r w:rsidRPr="00FC14BD">
        <w:rPr>
          <w:b/>
          <w:lang w:val="fr-FR"/>
        </w:rPr>
        <w:t>Sf</w:t>
      </w:r>
      <w:proofErr w:type="spellEnd"/>
      <w:r w:rsidRPr="00FC14BD">
        <w:rPr>
          <w:b/>
          <w:lang w:val="fr-FR"/>
        </w:rPr>
        <w:t>)</w:t>
      </w:r>
      <w:r w:rsidRPr="00FC14BD">
        <w:rPr>
          <w:lang w:val="fr-FR"/>
        </w:rPr>
        <w:t xml:space="preserve"> de chaque offre seront ensuite combinés en </w:t>
      </w:r>
      <w:r w:rsidRPr="00FC14BD">
        <w:rPr>
          <w:b/>
          <w:lang w:val="fr-FR"/>
        </w:rPr>
        <w:t>un score global (Sg)</w:t>
      </w:r>
      <w:r w:rsidRPr="00FC14BD">
        <w:rPr>
          <w:lang w:val="fr-FR"/>
        </w:rPr>
        <w:t xml:space="preserve"> par offre selon la répartition suivante :</w:t>
      </w:r>
    </w:p>
    <w:p w14:paraId="3647B1E2" w14:textId="77777777" w:rsidR="00017E28" w:rsidRPr="00FC14BD" w:rsidRDefault="00017E28" w:rsidP="00017E28">
      <w:pPr>
        <w:jc w:val="center"/>
        <w:rPr>
          <w:b/>
          <w:lang w:val="fr-FR"/>
        </w:rPr>
      </w:pPr>
      <w:r w:rsidRPr="00FC14BD">
        <w:rPr>
          <w:b/>
          <w:lang w:val="fr-FR"/>
        </w:rPr>
        <w:t xml:space="preserve">St = 80% de la note globale </w:t>
      </w:r>
    </w:p>
    <w:p w14:paraId="777FED69" w14:textId="77777777" w:rsidR="00017E28" w:rsidRPr="00FC14BD" w:rsidRDefault="00017E28" w:rsidP="00017E28">
      <w:pPr>
        <w:jc w:val="center"/>
        <w:rPr>
          <w:b/>
          <w:lang w:val="fr-FR"/>
        </w:rPr>
      </w:pPr>
      <w:proofErr w:type="spellStart"/>
      <w:r w:rsidRPr="00FC14BD">
        <w:rPr>
          <w:b/>
          <w:lang w:val="fr-FR"/>
        </w:rPr>
        <w:t>Sf</w:t>
      </w:r>
      <w:proofErr w:type="spellEnd"/>
      <w:r w:rsidRPr="00FC14BD">
        <w:rPr>
          <w:b/>
          <w:lang w:val="fr-FR"/>
        </w:rPr>
        <w:t xml:space="preserve"> = 20% de la note globale. </w:t>
      </w:r>
    </w:p>
    <w:p w14:paraId="01C3CBD6" w14:textId="77777777" w:rsidR="00017E28" w:rsidRPr="00FC14BD" w:rsidRDefault="00017E28" w:rsidP="00017E28">
      <w:pPr>
        <w:jc w:val="both"/>
        <w:rPr>
          <w:lang w:val="fr-FR"/>
        </w:rPr>
      </w:pPr>
      <w:r w:rsidRPr="00FC14BD">
        <w:rPr>
          <w:lang w:val="fr-FR"/>
        </w:rPr>
        <w:t xml:space="preserve">Le score global attribué aux offres permettra un classement des offres par l’application de la formule suivante, qui déterminera l’offre la meilleure au regard des critères de sélection proposés pour la mission : </w:t>
      </w:r>
    </w:p>
    <w:p w14:paraId="4F6F796D" w14:textId="1A60EAE1" w:rsidR="00017E28" w:rsidRPr="00FC14BD" w:rsidRDefault="00AA2BBC" w:rsidP="00AA2BBC">
      <w:pPr>
        <w:jc w:val="center"/>
        <w:rPr>
          <w:b/>
          <w:lang w:val="fr-FR"/>
        </w:rPr>
      </w:pPr>
      <w:r>
        <w:rPr>
          <w:b/>
          <w:lang w:val="fr-FR"/>
        </w:rPr>
        <w:t xml:space="preserve">Sg = (St x 80%) + </w:t>
      </w:r>
      <w:r w:rsidR="00017E28" w:rsidRPr="00FC14BD">
        <w:rPr>
          <w:b/>
          <w:lang w:val="fr-FR"/>
        </w:rPr>
        <w:t>(</w:t>
      </w:r>
      <w:proofErr w:type="spellStart"/>
      <w:r w:rsidR="00017E28" w:rsidRPr="00FC14BD">
        <w:rPr>
          <w:b/>
          <w:lang w:val="fr-FR"/>
        </w:rPr>
        <w:t>Sf</w:t>
      </w:r>
      <w:proofErr w:type="spellEnd"/>
      <w:r w:rsidR="00017E28" w:rsidRPr="00FC14BD">
        <w:rPr>
          <w:b/>
          <w:lang w:val="fr-FR"/>
        </w:rPr>
        <w:t xml:space="preserve"> x 20%)</w:t>
      </w:r>
    </w:p>
    <w:p w14:paraId="02923CA5" w14:textId="3A9600DC" w:rsidR="00017E28" w:rsidRDefault="00017E28" w:rsidP="00017E28">
      <w:pPr>
        <w:rPr>
          <w:b/>
          <w:lang w:val="fr-FR"/>
        </w:rPr>
      </w:pPr>
      <w:r w:rsidRPr="00FC14BD">
        <w:rPr>
          <w:b/>
          <w:lang w:val="fr-FR"/>
        </w:rPr>
        <w:t xml:space="preserve">Le Contrat sera adjugé à l’offre ayant obtenu le score global (Sg) le plus élevé. </w:t>
      </w:r>
    </w:p>
    <w:p w14:paraId="27ABD9C8" w14:textId="77777777" w:rsidR="00C11F5B" w:rsidRPr="00FC14BD" w:rsidRDefault="00C11F5B" w:rsidP="00017E28">
      <w:pPr>
        <w:rPr>
          <w:b/>
          <w:lang w:val="fr-FR"/>
        </w:rPr>
      </w:pPr>
    </w:p>
    <w:p w14:paraId="731127A9" w14:textId="7BF6B127" w:rsidR="00135C81" w:rsidRDefault="00017E28" w:rsidP="00135C81">
      <w:pPr>
        <w:pStyle w:val="Heading1"/>
      </w:pPr>
      <w:bookmarkStart w:id="31" w:name="_Toc510629128"/>
      <w:r w:rsidRPr="003A157A">
        <w:t xml:space="preserve">Soumission </w:t>
      </w:r>
      <w:bookmarkEnd w:id="31"/>
    </w:p>
    <w:p w14:paraId="742CE1B3" w14:textId="77777777" w:rsidR="00135C81" w:rsidRPr="009B6ADD" w:rsidRDefault="00135C81" w:rsidP="00135C81">
      <w:pPr>
        <w:spacing w:line="276" w:lineRule="auto"/>
        <w:jc w:val="both"/>
        <w:rPr>
          <w:rFonts w:ascii="Times New Roman" w:hAnsi="Times New Roman" w:cs="Times New Roman"/>
          <w:b/>
          <w:bCs/>
          <w:lang w:val="fr-FR"/>
        </w:rPr>
      </w:pPr>
      <w:r w:rsidRPr="009B6ADD">
        <w:rPr>
          <w:rFonts w:ascii="Times New Roman" w:hAnsi="Times New Roman" w:cs="Times New Roman"/>
          <w:b/>
          <w:bCs/>
          <w:lang w:val="fr-FR"/>
        </w:rPr>
        <w:t xml:space="preserve">Pour soumettre votre candidature, veuillez utiliser le lien suivant </w:t>
      </w:r>
    </w:p>
    <w:p w14:paraId="19B79F14" w14:textId="61F4B5D1" w:rsidR="00135C81" w:rsidRDefault="00697327" w:rsidP="00697327">
      <w:pPr>
        <w:spacing w:line="276" w:lineRule="auto"/>
        <w:jc w:val="both"/>
        <w:rPr>
          <w:lang w:val="fr-FR"/>
        </w:rPr>
      </w:pPr>
      <w:hyperlink r:id="rId7" w:history="1">
        <w:r w:rsidRPr="001F5FE8">
          <w:rPr>
            <w:rStyle w:val="Hyperlink"/>
            <w:lang w:val="fr-FR"/>
          </w:rPr>
          <w:t>https://secure.dc7.pageuppeople.com/apply/671/gateway/Default.aspx?c=apply&amp;sJobIDs=546254&amp;SourceTypeID=796&amp;sLanguage=en-us</w:t>
        </w:r>
      </w:hyperlink>
    </w:p>
    <w:p w14:paraId="417AFD2B" w14:textId="77777777" w:rsidR="00697327" w:rsidRPr="00697327" w:rsidRDefault="00697327" w:rsidP="00697327">
      <w:pPr>
        <w:spacing w:line="276" w:lineRule="auto"/>
        <w:jc w:val="both"/>
        <w:rPr>
          <w:rFonts w:ascii="Times New Roman" w:hAnsi="Times New Roman" w:cs="Times New Roman"/>
          <w:lang w:val="fr-FR"/>
        </w:rPr>
      </w:pPr>
    </w:p>
    <w:p w14:paraId="345E7CEF" w14:textId="77777777" w:rsidR="00135C81" w:rsidRPr="009B6ADD" w:rsidRDefault="00135C81" w:rsidP="00135C81">
      <w:pPr>
        <w:spacing w:line="276" w:lineRule="auto"/>
        <w:jc w:val="both"/>
        <w:rPr>
          <w:rFonts w:ascii="Times New Roman" w:hAnsi="Times New Roman" w:cs="Times New Roman"/>
          <w:lang w:val="fr-FR"/>
        </w:rPr>
      </w:pPr>
      <w:r w:rsidRPr="009B6ADD">
        <w:rPr>
          <w:rFonts w:ascii="Times New Roman" w:hAnsi="Times New Roman" w:cs="Times New Roman"/>
          <w:b/>
          <w:bCs/>
          <w:lang w:val="fr-FR"/>
        </w:rPr>
        <w:t xml:space="preserve">Pour avoir les Termes de Référence détaillés ou pour toute question concernant cette consultation, prière contacter Mme Dominique Brunet </w:t>
      </w:r>
      <w:hyperlink r:id="rId8" w:history="1">
        <w:r w:rsidRPr="009B6ADD">
          <w:rPr>
            <w:rStyle w:val="Hyperlink"/>
            <w:rFonts w:ascii="Times New Roman" w:hAnsi="Times New Roman"/>
            <w:b/>
            <w:bCs/>
            <w:lang w:val="fr-FR"/>
          </w:rPr>
          <w:t>dbrunet@unicef.org</w:t>
        </w:r>
      </w:hyperlink>
      <w:r w:rsidRPr="009B6ADD">
        <w:rPr>
          <w:rFonts w:ascii="Times New Roman" w:hAnsi="Times New Roman" w:cs="Times New Roman"/>
          <w:b/>
          <w:bCs/>
          <w:lang w:val="fr-FR"/>
        </w:rPr>
        <w:t xml:space="preserve"> </w:t>
      </w:r>
    </w:p>
    <w:p w14:paraId="27EBBF48" w14:textId="77777777" w:rsidR="00135C81" w:rsidRPr="00673A3C" w:rsidRDefault="00135C81" w:rsidP="00135C81">
      <w:pPr>
        <w:spacing w:before="100" w:beforeAutospacing="1" w:after="120" w:line="276" w:lineRule="auto"/>
        <w:rPr>
          <w:rFonts w:ascii="Times New Roman" w:eastAsia="Times New Roman" w:hAnsi="Times New Roman" w:cs="Times New Roman"/>
          <w:i/>
          <w:iCs/>
          <w:color w:val="000000"/>
        </w:rPr>
      </w:pPr>
      <w:r w:rsidRPr="00673A3C">
        <w:rPr>
          <w:rFonts w:ascii="Times New Roman" w:eastAsia="Times New Roman" w:hAnsi="Times New Roman" w:cs="Times New Roman"/>
          <w:i/>
          <w:iCs/>
          <w:color w:val="000000"/>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1A15FA8F" w14:textId="77777777" w:rsidR="00135C81" w:rsidRPr="00673A3C" w:rsidRDefault="00135C81" w:rsidP="00135C81">
      <w:pPr>
        <w:spacing w:after="120" w:line="276" w:lineRule="auto"/>
        <w:rPr>
          <w:rFonts w:ascii="Times New Roman" w:eastAsia="Times New Roman" w:hAnsi="Times New Roman" w:cs="Times New Roman"/>
          <w:i/>
          <w:iCs/>
          <w:color w:val="000000"/>
        </w:rPr>
      </w:pPr>
      <w:r w:rsidRPr="00673A3C">
        <w:rPr>
          <w:rFonts w:ascii="Times New Roman" w:eastAsia="Times New Roman" w:hAnsi="Times New Roman" w:cs="Times New Roman"/>
          <w:i/>
          <w:iCs/>
          <w:color w:val="00000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583A0BC7" w14:textId="77777777" w:rsidR="00135C81" w:rsidRPr="00673A3C" w:rsidRDefault="00135C81" w:rsidP="00135C81">
      <w:pPr>
        <w:spacing w:line="276" w:lineRule="auto"/>
        <w:rPr>
          <w:rFonts w:ascii="Times New Roman" w:hAnsi="Times New Roman" w:cs="Times New Roman"/>
        </w:rPr>
      </w:pPr>
      <w:r w:rsidRPr="00673A3C">
        <w:rPr>
          <w:rFonts w:ascii="Times New Roman" w:eastAsia="Times New Roman" w:hAnsi="Times New Roman" w:cs="Times New Roman"/>
          <w:i/>
          <w:iCs/>
          <w:color w:val="000000"/>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w:t>
      </w:r>
      <w:r w:rsidRPr="00673A3C">
        <w:rPr>
          <w:rFonts w:ascii="Times New Roman" w:eastAsia="Times New Roman" w:hAnsi="Times New Roman" w:cs="Times New Roman"/>
          <w:i/>
          <w:iCs/>
          <w:color w:val="000000"/>
        </w:rPr>
        <w:lastRenderedPageBreak/>
        <w:t>liabilities and for the payment of any taxes and/or duties, in accordance with local or other applicable laws.</w:t>
      </w:r>
    </w:p>
    <w:p w14:paraId="45E2A43D" w14:textId="77777777" w:rsidR="00135C81" w:rsidRPr="00673A3C" w:rsidRDefault="00135C81" w:rsidP="00135C81">
      <w:pPr>
        <w:autoSpaceDE w:val="0"/>
        <w:autoSpaceDN w:val="0"/>
        <w:adjustRightInd w:val="0"/>
        <w:spacing w:line="276" w:lineRule="auto"/>
        <w:ind w:left="720"/>
        <w:jc w:val="both"/>
        <w:rPr>
          <w:rFonts w:ascii="Times New Roman" w:hAnsi="Times New Roman" w:cs="Times New Roman"/>
          <w:b/>
          <w:bCs/>
        </w:rPr>
      </w:pPr>
    </w:p>
    <w:p w14:paraId="4D2A8B40" w14:textId="77777777" w:rsidR="00135C81" w:rsidRPr="00135C81" w:rsidRDefault="00135C81" w:rsidP="009B6ADD"/>
    <w:p w14:paraId="133E035C" w14:textId="77777777" w:rsidR="007D0D1A" w:rsidRPr="009B6ADD" w:rsidRDefault="007D0D1A" w:rsidP="007D0D1A">
      <w:pPr>
        <w:pStyle w:val="ListParagraph"/>
        <w:rPr>
          <w:rFonts w:ascii="Cambria" w:hAnsi="Cambria"/>
          <w:b/>
        </w:rPr>
      </w:pPr>
    </w:p>
    <w:p w14:paraId="14EC51D9" w14:textId="77777777" w:rsidR="00017E28" w:rsidRPr="009B6ADD" w:rsidRDefault="00017E28" w:rsidP="00017E28">
      <w:pPr>
        <w:jc w:val="both"/>
        <w:rPr>
          <w:rFonts w:cs="Times New Roman"/>
          <w:bCs/>
          <w:highlight w:val="yellow"/>
        </w:rPr>
      </w:pPr>
    </w:p>
    <w:p w14:paraId="3299EB00" w14:textId="30D0C09E" w:rsidR="00017E28" w:rsidRPr="00697327" w:rsidRDefault="00017E28" w:rsidP="00305B5C">
      <w:pPr>
        <w:jc w:val="both"/>
      </w:pPr>
    </w:p>
    <w:sectPr w:rsidR="00017E28" w:rsidRPr="00697327" w:rsidSect="00F02BF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002E" w14:textId="77777777" w:rsidR="003139E1" w:rsidRDefault="003139E1" w:rsidP="003B69C9">
      <w:r>
        <w:separator/>
      </w:r>
    </w:p>
  </w:endnote>
  <w:endnote w:type="continuationSeparator" w:id="0">
    <w:p w14:paraId="3959BDCF" w14:textId="77777777" w:rsidR="003139E1" w:rsidRDefault="003139E1" w:rsidP="003B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76A1" w14:textId="2B8165A0" w:rsidR="003B69C9" w:rsidRPr="003B69C9" w:rsidRDefault="003B69C9" w:rsidP="003B69C9">
    <w:pPr>
      <w:pBdr>
        <w:top w:val="single" w:sz="4" w:space="1" w:color="auto"/>
      </w:pBdr>
      <w:tabs>
        <w:tab w:val="center" w:pos="4550"/>
        <w:tab w:val="left" w:pos="5818"/>
        <w:tab w:val="left" w:pos="6324"/>
        <w:tab w:val="right" w:pos="9820"/>
      </w:tabs>
      <w:ind w:right="260"/>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D17A01">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D17A01">
      <w:rPr>
        <w:noProof/>
        <w:color w:val="323E4F" w:themeColor="text2" w:themeShade="BF"/>
      </w:rPr>
      <w:t>10</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575B" w14:textId="77777777" w:rsidR="003139E1" w:rsidRDefault="003139E1" w:rsidP="003B69C9">
      <w:r>
        <w:separator/>
      </w:r>
    </w:p>
  </w:footnote>
  <w:footnote w:type="continuationSeparator" w:id="0">
    <w:p w14:paraId="16760EE8" w14:textId="77777777" w:rsidR="003139E1" w:rsidRDefault="003139E1" w:rsidP="003B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8DB0" w14:textId="77777777" w:rsidR="003B69C9" w:rsidRDefault="003B69C9" w:rsidP="003B69C9">
    <w:pPr>
      <w:pStyle w:val="Header"/>
      <w:pBdr>
        <w:bottom w:val="single" w:sz="4" w:space="1" w:color="auto"/>
      </w:pBdr>
    </w:pPr>
    <w:r w:rsidRPr="00631D63">
      <w:rPr>
        <w:noProof/>
      </w:rPr>
      <w:drawing>
        <wp:anchor distT="0" distB="0" distL="114300" distR="114300" simplePos="0" relativeHeight="251659264" behindDoc="0" locked="0" layoutInCell="1" allowOverlap="1" wp14:anchorId="24EF7879" wp14:editId="11ED8424">
          <wp:simplePos x="0" y="0"/>
          <wp:positionH relativeFrom="column">
            <wp:posOffset>4371975</wp:posOffset>
          </wp:positionH>
          <wp:positionV relativeFrom="paragraph">
            <wp:posOffset>-246177</wp:posOffset>
          </wp:positionV>
          <wp:extent cx="1352550" cy="327025"/>
          <wp:effectExtent l="0" t="0" r="0" b="0"/>
          <wp:wrapNone/>
          <wp:docPr id="4" name="Picture 4" descr="C:\Users\hbelrhiti\Documents\COM\BRANDS &amp; LOGOS\Logos UNICEF\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lrhiti\Documents\COM\BRANDS &amp; LOGOS\Logos UNICEF\UNICEF_logo_Cy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717A" w14:textId="77777777" w:rsidR="003B69C9" w:rsidRDefault="003B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B00"/>
    <w:multiLevelType w:val="multilevel"/>
    <w:tmpl w:val="889ADDC2"/>
    <w:lvl w:ilvl="0">
      <w:start w:val="1"/>
      <w:numFmt w:val="decimal"/>
      <w:lvlText w:val="%1."/>
      <w:lvlJc w:val="left"/>
      <w:pPr>
        <w:ind w:left="720" w:hanging="360"/>
      </w:pPr>
      <w:rPr>
        <w:rFonts w:hint="default"/>
      </w:rPr>
    </w:lvl>
    <w:lvl w:ilvl="1">
      <w:start w:val="1"/>
      <w:numFmt w:val="none"/>
      <w:isLgl/>
      <w:lvlText w:val="8.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C61854"/>
    <w:multiLevelType w:val="multilevel"/>
    <w:tmpl w:val="F56E1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465282"/>
    <w:multiLevelType w:val="hybridMultilevel"/>
    <w:tmpl w:val="00DAF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E67DD"/>
    <w:multiLevelType w:val="hybridMultilevel"/>
    <w:tmpl w:val="C0B0A9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285" w:hanging="360"/>
      </w:pPr>
    </w:lvl>
    <w:lvl w:ilvl="2" w:tplc="040C001B" w:tentative="1">
      <w:start w:val="1"/>
      <w:numFmt w:val="lowerRoman"/>
      <w:lvlText w:val="%3."/>
      <w:lvlJc w:val="right"/>
      <w:pPr>
        <w:ind w:left="435" w:hanging="180"/>
      </w:pPr>
    </w:lvl>
    <w:lvl w:ilvl="3" w:tplc="040C000F" w:tentative="1">
      <w:start w:val="1"/>
      <w:numFmt w:val="decimal"/>
      <w:lvlText w:val="%4."/>
      <w:lvlJc w:val="left"/>
      <w:pPr>
        <w:ind w:left="1155" w:hanging="360"/>
      </w:pPr>
    </w:lvl>
    <w:lvl w:ilvl="4" w:tplc="040C0019" w:tentative="1">
      <w:start w:val="1"/>
      <w:numFmt w:val="lowerLetter"/>
      <w:lvlText w:val="%5."/>
      <w:lvlJc w:val="left"/>
      <w:pPr>
        <w:ind w:left="1875" w:hanging="360"/>
      </w:pPr>
    </w:lvl>
    <w:lvl w:ilvl="5" w:tplc="040C001B" w:tentative="1">
      <w:start w:val="1"/>
      <w:numFmt w:val="lowerRoman"/>
      <w:lvlText w:val="%6."/>
      <w:lvlJc w:val="right"/>
      <w:pPr>
        <w:ind w:left="2595" w:hanging="180"/>
      </w:pPr>
    </w:lvl>
    <w:lvl w:ilvl="6" w:tplc="040C000F" w:tentative="1">
      <w:start w:val="1"/>
      <w:numFmt w:val="decimal"/>
      <w:lvlText w:val="%7."/>
      <w:lvlJc w:val="left"/>
      <w:pPr>
        <w:ind w:left="3315" w:hanging="360"/>
      </w:pPr>
    </w:lvl>
    <w:lvl w:ilvl="7" w:tplc="040C0019" w:tentative="1">
      <w:start w:val="1"/>
      <w:numFmt w:val="lowerLetter"/>
      <w:lvlText w:val="%8."/>
      <w:lvlJc w:val="left"/>
      <w:pPr>
        <w:ind w:left="4035" w:hanging="360"/>
      </w:pPr>
    </w:lvl>
    <w:lvl w:ilvl="8" w:tplc="040C001B" w:tentative="1">
      <w:start w:val="1"/>
      <w:numFmt w:val="lowerRoman"/>
      <w:lvlText w:val="%9."/>
      <w:lvlJc w:val="right"/>
      <w:pPr>
        <w:ind w:left="4755" w:hanging="180"/>
      </w:pPr>
    </w:lvl>
  </w:abstractNum>
  <w:abstractNum w:abstractNumId="4" w15:restartNumberingAfterBreak="0">
    <w:nsid w:val="07FE3AF7"/>
    <w:multiLevelType w:val="hybridMultilevel"/>
    <w:tmpl w:val="9B7A4672"/>
    <w:lvl w:ilvl="0" w:tplc="8F680FC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F1E3D"/>
    <w:multiLevelType w:val="hybridMultilevel"/>
    <w:tmpl w:val="9BE8A48C"/>
    <w:lvl w:ilvl="0" w:tplc="4F74A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32550"/>
    <w:multiLevelType w:val="hybridMultilevel"/>
    <w:tmpl w:val="33CEB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9A0831"/>
    <w:multiLevelType w:val="hybridMultilevel"/>
    <w:tmpl w:val="D60A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A2D00"/>
    <w:multiLevelType w:val="multilevel"/>
    <w:tmpl w:val="56EAE872"/>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D314D"/>
    <w:multiLevelType w:val="hybridMultilevel"/>
    <w:tmpl w:val="2FBEEF4C"/>
    <w:lvl w:ilvl="0" w:tplc="10CA7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54C26"/>
    <w:multiLevelType w:val="hybridMultilevel"/>
    <w:tmpl w:val="050A97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ED169D"/>
    <w:multiLevelType w:val="hybridMultilevel"/>
    <w:tmpl w:val="F4B8ECAC"/>
    <w:lvl w:ilvl="0" w:tplc="040C0017">
      <w:start w:val="1"/>
      <w:numFmt w:val="lowerLetter"/>
      <w:lvlText w:val="%1)"/>
      <w:lvlJc w:val="left"/>
      <w:pPr>
        <w:ind w:left="72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6322B"/>
    <w:multiLevelType w:val="multilevel"/>
    <w:tmpl w:val="F56E1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341774"/>
    <w:multiLevelType w:val="multilevel"/>
    <w:tmpl w:val="3F02AD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C64CD"/>
    <w:multiLevelType w:val="multilevel"/>
    <w:tmpl w:val="A89619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85F03"/>
    <w:multiLevelType w:val="hybridMultilevel"/>
    <w:tmpl w:val="9AA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746"/>
    <w:multiLevelType w:val="hybridMultilevel"/>
    <w:tmpl w:val="F5D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152A9"/>
    <w:multiLevelType w:val="hybridMultilevel"/>
    <w:tmpl w:val="C75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1E4F"/>
    <w:multiLevelType w:val="hybridMultilevel"/>
    <w:tmpl w:val="E2D0CE44"/>
    <w:lvl w:ilvl="0" w:tplc="04090013">
      <w:start w:val="1"/>
      <w:numFmt w:val="upperRoman"/>
      <w:lvlText w:val="%1."/>
      <w:lvlJc w:val="right"/>
      <w:pPr>
        <w:ind w:left="720" w:hanging="360"/>
      </w:p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D5E79"/>
    <w:multiLevelType w:val="multilevel"/>
    <w:tmpl w:val="3F02AD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E03F5"/>
    <w:multiLevelType w:val="hybridMultilevel"/>
    <w:tmpl w:val="1B7E0ADC"/>
    <w:lvl w:ilvl="0" w:tplc="F580D0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84413A"/>
    <w:multiLevelType w:val="hybridMultilevel"/>
    <w:tmpl w:val="13F8699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52FAE"/>
    <w:multiLevelType w:val="multilevel"/>
    <w:tmpl w:val="56EAE872"/>
    <w:numStyleLink w:val="Style1"/>
  </w:abstractNum>
  <w:abstractNum w:abstractNumId="23" w15:restartNumberingAfterBreak="0">
    <w:nsid w:val="41DE2396"/>
    <w:multiLevelType w:val="hybridMultilevel"/>
    <w:tmpl w:val="D22A4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44D06D6"/>
    <w:multiLevelType w:val="multilevel"/>
    <w:tmpl w:val="0409001F"/>
    <w:styleLink w:val="Styl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C63557"/>
    <w:multiLevelType w:val="hybridMultilevel"/>
    <w:tmpl w:val="F35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1CBF"/>
    <w:multiLevelType w:val="hybridMultilevel"/>
    <w:tmpl w:val="EAD0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31CD5"/>
    <w:multiLevelType w:val="hybridMultilevel"/>
    <w:tmpl w:val="94A0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EB38E2"/>
    <w:multiLevelType w:val="hybridMultilevel"/>
    <w:tmpl w:val="C7A2192E"/>
    <w:lvl w:ilvl="0" w:tplc="4300C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E6350"/>
    <w:multiLevelType w:val="hybridMultilevel"/>
    <w:tmpl w:val="998A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83DE7"/>
    <w:multiLevelType w:val="hybridMultilevel"/>
    <w:tmpl w:val="0E2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E01BE"/>
    <w:multiLevelType w:val="multilevel"/>
    <w:tmpl w:val="1102E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6C3033E6"/>
    <w:multiLevelType w:val="hybridMultilevel"/>
    <w:tmpl w:val="9E0EF64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5137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651C3C"/>
    <w:multiLevelType w:val="hybridMultilevel"/>
    <w:tmpl w:val="8C3EB4A4"/>
    <w:lvl w:ilvl="0" w:tplc="040C0001">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26562B"/>
    <w:multiLevelType w:val="multilevel"/>
    <w:tmpl w:val="0409001F"/>
    <w:numStyleLink w:val="Style2"/>
  </w:abstractNum>
  <w:abstractNum w:abstractNumId="36" w15:restartNumberingAfterBreak="0">
    <w:nsid w:val="706E7492"/>
    <w:multiLevelType w:val="multilevel"/>
    <w:tmpl w:val="192E47D0"/>
    <w:lvl w:ilvl="0">
      <w:start w:val="1"/>
      <w:numFmt w:val="decimal"/>
      <w:lvlText w:val="%1"/>
      <w:lvlJc w:val="left"/>
      <w:pPr>
        <w:ind w:left="360" w:hanging="360"/>
      </w:pPr>
      <w:rPr>
        <w:rFonts w:hint="default"/>
        <w:color w:val="auto"/>
      </w:rPr>
    </w:lvl>
    <w:lvl w:ilvl="1">
      <w:start w:val="2"/>
      <w:numFmt w:val="decimal"/>
      <w:lvlText w:val="%1.%2"/>
      <w:lvlJc w:val="left"/>
      <w:pPr>
        <w:ind w:left="540" w:hanging="360"/>
      </w:pPr>
      <w:rPr>
        <w:rFonts w:hint="default"/>
        <w:color w:val="auto"/>
      </w:rPr>
    </w:lvl>
    <w:lvl w:ilvl="2">
      <w:start w:val="1"/>
      <w:numFmt w:val="decimal"/>
      <w:lvlText w:val="%1.%2.%3"/>
      <w:lvlJc w:val="left"/>
      <w:pPr>
        <w:ind w:left="720" w:hanging="36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440" w:hanging="720"/>
      </w:pPr>
      <w:rPr>
        <w:rFonts w:hint="default"/>
        <w:color w:val="auto"/>
      </w:rPr>
    </w:lvl>
    <w:lvl w:ilvl="5">
      <w:start w:val="1"/>
      <w:numFmt w:val="decimal"/>
      <w:lvlText w:val="%1.%2.%3.%4.%5.%6"/>
      <w:lvlJc w:val="left"/>
      <w:pPr>
        <w:ind w:left="1620" w:hanging="720"/>
      </w:pPr>
      <w:rPr>
        <w:rFonts w:hint="default"/>
        <w:color w:val="auto"/>
      </w:rPr>
    </w:lvl>
    <w:lvl w:ilvl="6">
      <w:start w:val="1"/>
      <w:numFmt w:val="decimal"/>
      <w:lvlText w:val="%1.%2.%3.%4.%5.%6.%7"/>
      <w:lvlJc w:val="left"/>
      <w:pPr>
        <w:ind w:left="2160" w:hanging="1080"/>
      </w:pPr>
      <w:rPr>
        <w:rFonts w:hint="default"/>
        <w:color w:val="auto"/>
      </w:rPr>
    </w:lvl>
    <w:lvl w:ilvl="7">
      <w:start w:val="1"/>
      <w:numFmt w:val="decimal"/>
      <w:lvlText w:val="%1.%2.%3.%4.%5.%6.%7.%8"/>
      <w:lvlJc w:val="left"/>
      <w:pPr>
        <w:ind w:left="2340" w:hanging="1080"/>
      </w:pPr>
      <w:rPr>
        <w:rFonts w:hint="default"/>
        <w:color w:val="auto"/>
      </w:rPr>
    </w:lvl>
    <w:lvl w:ilvl="8">
      <w:start w:val="1"/>
      <w:numFmt w:val="decimal"/>
      <w:lvlText w:val="%1.%2.%3.%4.%5.%6.%7.%8.%9"/>
      <w:lvlJc w:val="left"/>
      <w:pPr>
        <w:ind w:left="2520" w:hanging="1080"/>
      </w:pPr>
      <w:rPr>
        <w:rFonts w:hint="default"/>
        <w:color w:val="auto"/>
      </w:rPr>
    </w:lvl>
  </w:abstractNum>
  <w:abstractNum w:abstractNumId="37" w15:restartNumberingAfterBreak="0">
    <w:nsid w:val="79D375A6"/>
    <w:multiLevelType w:val="hybridMultilevel"/>
    <w:tmpl w:val="3028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076F1"/>
    <w:multiLevelType w:val="hybridMultilevel"/>
    <w:tmpl w:val="58CE51E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17D99"/>
    <w:multiLevelType w:val="hybridMultilevel"/>
    <w:tmpl w:val="528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6"/>
  </w:num>
  <w:num w:numId="4">
    <w:abstractNumId w:val="26"/>
  </w:num>
  <w:num w:numId="5">
    <w:abstractNumId w:val="7"/>
  </w:num>
  <w:num w:numId="6">
    <w:abstractNumId w:val="33"/>
  </w:num>
  <w:num w:numId="7">
    <w:abstractNumId w:val="36"/>
  </w:num>
  <w:num w:numId="8">
    <w:abstractNumId w:val="31"/>
  </w:num>
  <w:num w:numId="9">
    <w:abstractNumId w:val="11"/>
  </w:num>
  <w:num w:numId="10">
    <w:abstractNumId w:val="18"/>
  </w:num>
  <w:num w:numId="11">
    <w:abstractNumId w:val="9"/>
  </w:num>
  <w:num w:numId="12">
    <w:abstractNumId w:val="2"/>
  </w:num>
  <w:num w:numId="13">
    <w:abstractNumId w:val="15"/>
  </w:num>
  <w:num w:numId="14">
    <w:abstractNumId w:val="39"/>
  </w:num>
  <w:num w:numId="15">
    <w:abstractNumId w:val="22"/>
  </w:num>
  <w:num w:numId="16">
    <w:abstractNumId w:val="38"/>
  </w:num>
  <w:num w:numId="17">
    <w:abstractNumId w:val="1"/>
  </w:num>
  <w:num w:numId="18">
    <w:abstractNumId w:val="5"/>
  </w:num>
  <w:num w:numId="19">
    <w:abstractNumId w:val="8"/>
  </w:num>
  <w:num w:numId="20">
    <w:abstractNumId w:val="12"/>
  </w:num>
  <w:num w:numId="21">
    <w:abstractNumId w:val="0"/>
  </w:num>
  <w:num w:numId="22">
    <w:abstractNumId w:val="24"/>
  </w:num>
  <w:num w:numId="23">
    <w:abstractNumId w:val="35"/>
  </w:num>
  <w:num w:numId="24">
    <w:abstractNumId w:val="14"/>
  </w:num>
  <w:num w:numId="25">
    <w:abstractNumId w:val="14"/>
  </w:num>
  <w:num w:numId="26">
    <w:abstractNumId w:val="19"/>
  </w:num>
  <w:num w:numId="27">
    <w:abstractNumId w:val="13"/>
  </w:num>
  <w:num w:numId="28">
    <w:abstractNumId w:val="28"/>
  </w:num>
  <w:num w:numId="29">
    <w:abstractNumId w:val="20"/>
  </w:num>
  <w:num w:numId="30">
    <w:abstractNumId w:val="29"/>
  </w:num>
  <w:num w:numId="31">
    <w:abstractNumId w:val="34"/>
  </w:num>
  <w:num w:numId="32">
    <w:abstractNumId w:val="17"/>
  </w:num>
  <w:num w:numId="33">
    <w:abstractNumId w:val="3"/>
  </w:num>
  <w:num w:numId="34">
    <w:abstractNumId w:val="25"/>
  </w:num>
  <w:num w:numId="35">
    <w:abstractNumId w:val="4"/>
  </w:num>
  <w:num w:numId="36">
    <w:abstractNumId w:val="23"/>
  </w:num>
  <w:num w:numId="37">
    <w:abstractNumId w:val="6"/>
  </w:num>
  <w:num w:numId="38">
    <w:abstractNumId w:val="27"/>
  </w:num>
  <w:num w:numId="39">
    <w:abstractNumId w:val="10"/>
  </w:num>
  <w:num w:numId="40">
    <w:abstractNumId w:val="21"/>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D1"/>
    <w:rsid w:val="00002A9E"/>
    <w:rsid w:val="00007096"/>
    <w:rsid w:val="00017E28"/>
    <w:rsid w:val="00025C18"/>
    <w:rsid w:val="000354A2"/>
    <w:rsid w:val="00063A9B"/>
    <w:rsid w:val="000678B6"/>
    <w:rsid w:val="00083D4F"/>
    <w:rsid w:val="000A0B2C"/>
    <w:rsid w:val="000B7477"/>
    <w:rsid w:val="000E03A8"/>
    <w:rsid w:val="00133515"/>
    <w:rsid w:val="00135985"/>
    <w:rsid w:val="00135C81"/>
    <w:rsid w:val="00137CDB"/>
    <w:rsid w:val="00137FC0"/>
    <w:rsid w:val="00143C82"/>
    <w:rsid w:val="00172A1D"/>
    <w:rsid w:val="00181D86"/>
    <w:rsid w:val="001A0830"/>
    <w:rsid w:val="002003D8"/>
    <w:rsid w:val="00201866"/>
    <w:rsid w:val="00217ADB"/>
    <w:rsid w:val="00223461"/>
    <w:rsid w:val="00223AF3"/>
    <w:rsid w:val="002263DB"/>
    <w:rsid w:val="00234CB3"/>
    <w:rsid w:val="00251743"/>
    <w:rsid w:val="002769D0"/>
    <w:rsid w:val="00291E73"/>
    <w:rsid w:val="002C4445"/>
    <w:rsid w:val="002D4E0A"/>
    <w:rsid w:val="002E74A7"/>
    <w:rsid w:val="002F4757"/>
    <w:rsid w:val="00300D1D"/>
    <w:rsid w:val="00305B5C"/>
    <w:rsid w:val="003137E1"/>
    <w:rsid w:val="003139E1"/>
    <w:rsid w:val="00325115"/>
    <w:rsid w:val="00334349"/>
    <w:rsid w:val="00354A2D"/>
    <w:rsid w:val="00356CBB"/>
    <w:rsid w:val="00385604"/>
    <w:rsid w:val="003A157A"/>
    <w:rsid w:val="003A5C3A"/>
    <w:rsid w:val="003A6391"/>
    <w:rsid w:val="003B69C9"/>
    <w:rsid w:val="00413F7D"/>
    <w:rsid w:val="004201D1"/>
    <w:rsid w:val="00423978"/>
    <w:rsid w:val="004677E2"/>
    <w:rsid w:val="00492FD1"/>
    <w:rsid w:val="004A20B3"/>
    <w:rsid w:val="004A4531"/>
    <w:rsid w:val="004A7277"/>
    <w:rsid w:val="004B21A5"/>
    <w:rsid w:val="004B501A"/>
    <w:rsid w:val="004C6823"/>
    <w:rsid w:val="0050423F"/>
    <w:rsid w:val="00514CFA"/>
    <w:rsid w:val="005165F8"/>
    <w:rsid w:val="005371B9"/>
    <w:rsid w:val="00540168"/>
    <w:rsid w:val="00542400"/>
    <w:rsid w:val="00543A74"/>
    <w:rsid w:val="00547B2C"/>
    <w:rsid w:val="0055424C"/>
    <w:rsid w:val="00572276"/>
    <w:rsid w:val="005B54E5"/>
    <w:rsid w:val="005B798C"/>
    <w:rsid w:val="005C55D6"/>
    <w:rsid w:val="005D42D3"/>
    <w:rsid w:val="005D7167"/>
    <w:rsid w:val="005E132D"/>
    <w:rsid w:val="005E35BE"/>
    <w:rsid w:val="005F19EC"/>
    <w:rsid w:val="005F49D2"/>
    <w:rsid w:val="0060320E"/>
    <w:rsid w:val="00612128"/>
    <w:rsid w:val="00652A2F"/>
    <w:rsid w:val="00667994"/>
    <w:rsid w:val="00697327"/>
    <w:rsid w:val="006B0A07"/>
    <w:rsid w:val="006B2DD5"/>
    <w:rsid w:val="006C1EEB"/>
    <w:rsid w:val="006D5959"/>
    <w:rsid w:val="006E416D"/>
    <w:rsid w:val="006F3E49"/>
    <w:rsid w:val="00720377"/>
    <w:rsid w:val="00723A7D"/>
    <w:rsid w:val="00735C70"/>
    <w:rsid w:val="007447B2"/>
    <w:rsid w:val="00754FE9"/>
    <w:rsid w:val="007647E9"/>
    <w:rsid w:val="00781469"/>
    <w:rsid w:val="00795621"/>
    <w:rsid w:val="007A219C"/>
    <w:rsid w:val="007B512B"/>
    <w:rsid w:val="007B6E52"/>
    <w:rsid w:val="007D0D1A"/>
    <w:rsid w:val="00811087"/>
    <w:rsid w:val="00812BD2"/>
    <w:rsid w:val="00815082"/>
    <w:rsid w:val="00834880"/>
    <w:rsid w:val="00834A58"/>
    <w:rsid w:val="00861263"/>
    <w:rsid w:val="008C569C"/>
    <w:rsid w:val="008C7408"/>
    <w:rsid w:val="008D6179"/>
    <w:rsid w:val="008E4294"/>
    <w:rsid w:val="008E4D35"/>
    <w:rsid w:val="008F09DE"/>
    <w:rsid w:val="0090252D"/>
    <w:rsid w:val="0091043D"/>
    <w:rsid w:val="0091273B"/>
    <w:rsid w:val="00936B11"/>
    <w:rsid w:val="00977D95"/>
    <w:rsid w:val="00983F8C"/>
    <w:rsid w:val="00985C26"/>
    <w:rsid w:val="009A7331"/>
    <w:rsid w:val="009B6ADD"/>
    <w:rsid w:val="009C7083"/>
    <w:rsid w:val="009D3DE8"/>
    <w:rsid w:val="009D5225"/>
    <w:rsid w:val="009F6E76"/>
    <w:rsid w:val="00A45802"/>
    <w:rsid w:val="00A717A9"/>
    <w:rsid w:val="00A73BB1"/>
    <w:rsid w:val="00A772F1"/>
    <w:rsid w:val="00A806E0"/>
    <w:rsid w:val="00A86BE5"/>
    <w:rsid w:val="00A90D3B"/>
    <w:rsid w:val="00AA2581"/>
    <w:rsid w:val="00AA2BBC"/>
    <w:rsid w:val="00AA5076"/>
    <w:rsid w:val="00AB4A19"/>
    <w:rsid w:val="00AF4EBE"/>
    <w:rsid w:val="00B20CB8"/>
    <w:rsid w:val="00B23ED5"/>
    <w:rsid w:val="00B30C2F"/>
    <w:rsid w:val="00B40572"/>
    <w:rsid w:val="00B43EFF"/>
    <w:rsid w:val="00B76568"/>
    <w:rsid w:val="00B82BE9"/>
    <w:rsid w:val="00BC3A2E"/>
    <w:rsid w:val="00BD1239"/>
    <w:rsid w:val="00BD1B19"/>
    <w:rsid w:val="00BE086E"/>
    <w:rsid w:val="00BE42B5"/>
    <w:rsid w:val="00BF7B23"/>
    <w:rsid w:val="00C11F5B"/>
    <w:rsid w:val="00C14EB2"/>
    <w:rsid w:val="00C20962"/>
    <w:rsid w:val="00C20AAE"/>
    <w:rsid w:val="00C311C0"/>
    <w:rsid w:val="00C34B6B"/>
    <w:rsid w:val="00C45A14"/>
    <w:rsid w:val="00C72A9F"/>
    <w:rsid w:val="00C74865"/>
    <w:rsid w:val="00C7514D"/>
    <w:rsid w:val="00C81831"/>
    <w:rsid w:val="00C81C07"/>
    <w:rsid w:val="00C93F4C"/>
    <w:rsid w:val="00CB576E"/>
    <w:rsid w:val="00CB71B4"/>
    <w:rsid w:val="00CD513A"/>
    <w:rsid w:val="00CF3074"/>
    <w:rsid w:val="00CF32A4"/>
    <w:rsid w:val="00D17967"/>
    <w:rsid w:val="00D17A01"/>
    <w:rsid w:val="00D61D52"/>
    <w:rsid w:val="00D747B2"/>
    <w:rsid w:val="00D77DAA"/>
    <w:rsid w:val="00D96D05"/>
    <w:rsid w:val="00DA1C56"/>
    <w:rsid w:val="00DA6ECC"/>
    <w:rsid w:val="00DB3F72"/>
    <w:rsid w:val="00DE31F0"/>
    <w:rsid w:val="00DE3535"/>
    <w:rsid w:val="00DE79AB"/>
    <w:rsid w:val="00E10DAE"/>
    <w:rsid w:val="00E211EE"/>
    <w:rsid w:val="00E434E0"/>
    <w:rsid w:val="00E84736"/>
    <w:rsid w:val="00E86862"/>
    <w:rsid w:val="00EF7221"/>
    <w:rsid w:val="00F02BF7"/>
    <w:rsid w:val="00F06A33"/>
    <w:rsid w:val="00F13B3F"/>
    <w:rsid w:val="00F4179C"/>
    <w:rsid w:val="00F50BDD"/>
    <w:rsid w:val="00F6412C"/>
    <w:rsid w:val="00F67B43"/>
    <w:rsid w:val="00F7254B"/>
    <w:rsid w:val="00F76682"/>
    <w:rsid w:val="00F8100A"/>
    <w:rsid w:val="00F81C42"/>
    <w:rsid w:val="00F81D24"/>
    <w:rsid w:val="00FA3100"/>
    <w:rsid w:val="00FB6B0B"/>
    <w:rsid w:val="00FD1137"/>
    <w:rsid w:val="00FD6911"/>
    <w:rsid w:val="00FF2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A3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5D6"/>
    <w:pPr>
      <w:numPr>
        <w:numId w:val="24"/>
      </w:numPr>
      <w:spacing w:after="180" w:line="264" w:lineRule="auto"/>
      <w:outlineLvl w:val="0"/>
    </w:pPr>
    <w:rPr>
      <w:rFonts w:ascii="Calibri" w:eastAsia="Times New Roman" w:hAnsi="Calibri" w:cs="Arial"/>
      <w:b/>
      <w:snapToGrid w:val="0"/>
      <w:color w:val="0070C0"/>
      <w:sz w:val="28"/>
      <w:lang w:val="fr-FR"/>
    </w:rPr>
  </w:style>
  <w:style w:type="paragraph" w:styleId="Heading2">
    <w:name w:val="heading 2"/>
    <w:basedOn w:val="Heading1"/>
    <w:next w:val="Normal"/>
    <w:link w:val="Heading2Char"/>
    <w:uiPriority w:val="9"/>
    <w:unhideWhenUsed/>
    <w:qFormat/>
    <w:rsid w:val="003A157A"/>
    <w:pPr>
      <w:numPr>
        <w:ilvl w:val="1"/>
      </w:numPr>
      <w:outlineLvl w:val="1"/>
    </w:pPr>
    <w:rPr>
      <w:sz w:val="24"/>
      <w:szCs w:val="22"/>
    </w:rPr>
  </w:style>
  <w:style w:type="paragraph" w:styleId="Heading3">
    <w:name w:val="heading 3"/>
    <w:basedOn w:val="Normal"/>
    <w:next w:val="Normal"/>
    <w:link w:val="Heading3Char"/>
    <w:uiPriority w:val="9"/>
    <w:unhideWhenUsed/>
    <w:qFormat/>
    <w:rsid w:val="00017E28"/>
    <w:pPr>
      <w:keepNext/>
      <w:keepLines/>
      <w:spacing w:before="40" w:line="276" w:lineRule="auto"/>
      <w:ind w:left="720" w:hanging="720"/>
      <w:outlineLvl w:val="2"/>
    </w:pPr>
    <w:rPr>
      <w:rFonts w:ascii="Cambria" w:eastAsia="Times New Roman" w:hAnsi="Cambria" w:cs="Times New Roman"/>
      <w:color w:val="243F60"/>
      <w:lang w:val="en-GB"/>
    </w:rPr>
  </w:style>
  <w:style w:type="paragraph" w:styleId="Heading5">
    <w:name w:val="heading 5"/>
    <w:basedOn w:val="Normal"/>
    <w:next w:val="Normal"/>
    <w:link w:val="Heading5Char"/>
    <w:uiPriority w:val="9"/>
    <w:semiHidden/>
    <w:unhideWhenUsed/>
    <w:qFormat/>
    <w:rsid w:val="00017E28"/>
    <w:pPr>
      <w:keepNext/>
      <w:keepLines/>
      <w:spacing w:before="40" w:line="276" w:lineRule="auto"/>
      <w:ind w:left="1008" w:hanging="1008"/>
      <w:outlineLvl w:val="4"/>
    </w:pPr>
    <w:rPr>
      <w:rFonts w:ascii="Cambria" w:eastAsia="Times New Roman" w:hAnsi="Cambria" w:cs="Times New Roman"/>
      <w:color w:val="365F91"/>
      <w:sz w:val="22"/>
      <w:szCs w:val="22"/>
      <w:lang w:val="en-GB"/>
    </w:rPr>
  </w:style>
  <w:style w:type="paragraph" w:styleId="Heading6">
    <w:name w:val="heading 6"/>
    <w:basedOn w:val="Normal"/>
    <w:next w:val="Normal"/>
    <w:link w:val="Heading6Char"/>
    <w:uiPriority w:val="9"/>
    <w:semiHidden/>
    <w:unhideWhenUsed/>
    <w:qFormat/>
    <w:rsid w:val="00017E28"/>
    <w:pPr>
      <w:keepNext/>
      <w:keepLines/>
      <w:spacing w:before="40" w:line="276" w:lineRule="auto"/>
      <w:ind w:left="1152" w:hanging="1152"/>
      <w:outlineLvl w:val="5"/>
    </w:pPr>
    <w:rPr>
      <w:rFonts w:ascii="Cambria" w:eastAsia="Times New Roman" w:hAnsi="Cambria" w:cs="Times New Roman"/>
      <w:color w:val="243F60"/>
      <w:sz w:val="22"/>
      <w:szCs w:val="22"/>
      <w:lang w:val="en-GB"/>
    </w:rPr>
  </w:style>
  <w:style w:type="paragraph" w:styleId="Heading7">
    <w:name w:val="heading 7"/>
    <w:basedOn w:val="Normal"/>
    <w:next w:val="Normal"/>
    <w:link w:val="Heading7Char"/>
    <w:uiPriority w:val="9"/>
    <w:semiHidden/>
    <w:unhideWhenUsed/>
    <w:qFormat/>
    <w:rsid w:val="00017E28"/>
    <w:pPr>
      <w:keepNext/>
      <w:keepLines/>
      <w:spacing w:before="40" w:line="276" w:lineRule="auto"/>
      <w:ind w:left="1296" w:hanging="1296"/>
      <w:outlineLvl w:val="6"/>
    </w:pPr>
    <w:rPr>
      <w:rFonts w:ascii="Cambria" w:eastAsia="Times New Roman" w:hAnsi="Cambria" w:cs="Times New Roman"/>
      <w:i/>
      <w:iCs/>
      <w:color w:val="243F60"/>
      <w:sz w:val="22"/>
      <w:szCs w:val="22"/>
      <w:lang w:val="en-GB"/>
    </w:rPr>
  </w:style>
  <w:style w:type="paragraph" w:styleId="Heading8">
    <w:name w:val="heading 8"/>
    <w:basedOn w:val="Normal"/>
    <w:next w:val="Normal"/>
    <w:link w:val="Heading8Char"/>
    <w:uiPriority w:val="9"/>
    <w:semiHidden/>
    <w:unhideWhenUsed/>
    <w:qFormat/>
    <w:rsid w:val="00017E28"/>
    <w:pPr>
      <w:keepNext/>
      <w:keepLines/>
      <w:spacing w:before="40" w:line="276" w:lineRule="auto"/>
      <w:ind w:left="1440" w:hanging="1440"/>
      <w:outlineLvl w:val="7"/>
    </w:pPr>
    <w:rPr>
      <w:rFonts w:ascii="Cambria" w:eastAsia="Times New Roman" w:hAnsi="Cambria" w:cs="Times New Roman"/>
      <w:color w:val="272727"/>
      <w:sz w:val="21"/>
      <w:szCs w:val="21"/>
      <w:lang w:val="en-GB"/>
    </w:rPr>
  </w:style>
  <w:style w:type="paragraph" w:styleId="Heading9">
    <w:name w:val="heading 9"/>
    <w:basedOn w:val="Normal"/>
    <w:next w:val="Normal"/>
    <w:link w:val="Heading9Char"/>
    <w:uiPriority w:val="9"/>
    <w:semiHidden/>
    <w:unhideWhenUsed/>
    <w:qFormat/>
    <w:rsid w:val="00017E28"/>
    <w:pPr>
      <w:keepNext/>
      <w:keepLines/>
      <w:spacing w:before="40" w:line="276" w:lineRule="auto"/>
      <w:ind w:left="1584" w:hanging="1584"/>
      <w:outlineLvl w:val="8"/>
    </w:pPr>
    <w:rPr>
      <w:rFonts w:ascii="Cambria" w:eastAsia="Times New Roma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MCHIP_list paragraph,Recommendation,List Paragraph (numbered (a)),Dot pt,F5 List Paragraph,No Spacing1,List Paragraph Char Char Char,Indicator Text,Bullet 1"/>
    <w:basedOn w:val="Normal"/>
    <w:link w:val="ListParagraphChar"/>
    <w:uiPriority w:val="34"/>
    <w:qFormat/>
    <w:rsid w:val="00137FC0"/>
    <w:pPr>
      <w:ind w:left="720"/>
      <w:contextualSpacing/>
    </w:pPr>
  </w:style>
  <w:style w:type="character" w:styleId="CommentReference">
    <w:name w:val="annotation reference"/>
    <w:basedOn w:val="DefaultParagraphFont"/>
    <w:uiPriority w:val="99"/>
    <w:semiHidden/>
    <w:unhideWhenUsed/>
    <w:rsid w:val="002769D0"/>
    <w:rPr>
      <w:sz w:val="16"/>
      <w:szCs w:val="16"/>
    </w:rPr>
  </w:style>
  <w:style w:type="paragraph" w:styleId="CommentText">
    <w:name w:val="annotation text"/>
    <w:basedOn w:val="Normal"/>
    <w:link w:val="CommentTextChar"/>
    <w:uiPriority w:val="99"/>
    <w:semiHidden/>
    <w:unhideWhenUsed/>
    <w:rsid w:val="002769D0"/>
    <w:rPr>
      <w:sz w:val="20"/>
      <w:szCs w:val="20"/>
    </w:rPr>
  </w:style>
  <w:style w:type="character" w:customStyle="1" w:styleId="CommentTextChar">
    <w:name w:val="Comment Text Char"/>
    <w:basedOn w:val="DefaultParagraphFont"/>
    <w:link w:val="CommentText"/>
    <w:uiPriority w:val="99"/>
    <w:semiHidden/>
    <w:rsid w:val="002769D0"/>
    <w:rPr>
      <w:sz w:val="20"/>
      <w:szCs w:val="20"/>
    </w:rPr>
  </w:style>
  <w:style w:type="paragraph" w:styleId="CommentSubject">
    <w:name w:val="annotation subject"/>
    <w:basedOn w:val="CommentText"/>
    <w:next w:val="CommentText"/>
    <w:link w:val="CommentSubjectChar"/>
    <w:uiPriority w:val="99"/>
    <w:semiHidden/>
    <w:unhideWhenUsed/>
    <w:rsid w:val="002769D0"/>
    <w:rPr>
      <w:b/>
      <w:bCs/>
    </w:rPr>
  </w:style>
  <w:style w:type="character" w:customStyle="1" w:styleId="CommentSubjectChar">
    <w:name w:val="Comment Subject Char"/>
    <w:basedOn w:val="CommentTextChar"/>
    <w:link w:val="CommentSubject"/>
    <w:uiPriority w:val="99"/>
    <w:semiHidden/>
    <w:rsid w:val="002769D0"/>
    <w:rPr>
      <w:b/>
      <w:bCs/>
      <w:sz w:val="20"/>
      <w:szCs w:val="20"/>
    </w:rPr>
  </w:style>
  <w:style w:type="paragraph" w:styleId="BalloonText">
    <w:name w:val="Balloon Text"/>
    <w:basedOn w:val="Normal"/>
    <w:link w:val="BalloonTextChar"/>
    <w:uiPriority w:val="99"/>
    <w:semiHidden/>
    <w:unhideWhenUsed/>
    <w:rsid w:val="00276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D0"/>
    <w:rPr>
      <w:rFonts w:ascii="Segoe UI" w:hAnsi="Segoe UI" w:cs="Segoe UI"/>
      <w:sz w:val="18"/>
      <w:szCs w:val="18"/>
    </w:rPr>
  </w:style>
  <w:style w:type="character" w:customStyle="1" w:styleId="st1">
    <w:name w:val="st1"/>
    <w:basedOn w:val="DefaultParagraphFont"/>
    <w:rsid w:val="004A20B3"/>
  </w:style>
  <w:style w:type="paragraph" w:customStyle="1" w:styleId="Default">
    <w:name w:val="Default"/>
    <w:rsid w:val="00A86BE5"/>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rsid w:val="005C55D6"/>
    <w:rPr>
      <w:rFonts w:ascii="Calibri" w:eastAsia="Times New Roman" w:hAnsi="Calibri" w:cs="Arial"/>
      <w:b/>
      <w:snapToGrid w:val="0"/>
      <w:color w:val="0070C0"/>
      <w:sz w:val="28"/>
      <w:lang w:val="fr-FR"/>
    </w:rPr>
  </w:style>
  <w:style w:type="paragraph" w:styleId="TOCHeading">
    <w:name w:val="TOC Heading"/>
    <w:basedOn w:val="Heading1"/>
    <w:next w:val="Normal"/>
    <w:uiPriority w:val="39"/>
    <w:unhideWhenUsed/>
    <w:qFormat/>
    <w:rsid w:val="00A86BE5"/>
    <w:pPr>
      <w:numPr>
        <w:numId w:val="0"/>
      </w:numPr>
      <w:spacing w:line="259" w:lineRule="auto"/>
      <w:outlineLvl w:val="9"/>
    </w:pPr>
    <w:rPr>
      <w:rFonts w:ascii="Calibri Light" w:hAnsi="Calibri Light" w:cs="Times New Roman"/>
      <w:color w:val="2E74B5"/>
    </w:rPr>
  </w:style>
  <w:style w:type="paragraph" w:styleId="TOC1">
    <w:name w:val="toc 1"/>
    <w:basedOn w:val="Normal"/>
    <w:next w:val="Normal"/>
    <w:autoRedefine/>
    <w:uiPriority w:val="39"/>
    <w:unhideWhenUsed/>
    <w:rsid w:val="00A45802"/>
    <w:pPr>
      <w:tabs>
        <w:tab w:val="left" w:pos="180"/>
        <w:tab w:val="left" w:pos="440"/>
        <w:tab w:val="right" w:leader="dot" w:pos="9182"/>
      </w:tabs>
      <w:spacing w:after="200" w:line="276" w:lineRule="auto"/>
      <w:ind w:left="270" w:hanging="270"/>
    </w:pPr>
    <w:rPr>
      <w:rFonts w:ascii="Calibri" w:eastAsia="Calibri" w:hAnsi="Calibri" w:cs="Arial"/>
      <w:sz w:val="22"/>
      <w:szCs w:val="22"/>
      <w:lang w:val="fr-MA"/>
    </w:rPr>
  </w:style>
  <w:style w:type="paragraph" w:styleId="TOC2">
    <w:name w:val="toc 2"/>
    <w:basedOn w:val="Normal"/>
    <w:next w:val="Normal"/>
    <w:autoRedefine/>
    <w:uiPriority w:val="39"/>
    <w:unhideWhenUsed/>
    <w:rsid w:val="00A86BE5"/>
    <w:pPr>
      <w:spacing w:after="200" w:line="276" w:lineRule="auto"/>
      <w:ind w:left="220"/>
    </w:pPr>
    <w:rPr>
      <w:rFonts w:ascii="Calibri" w:eastAsia="Calibri" w:hAnsi="Calibri" w:cs="Arial"/>
      <w:sz w:val="22"/>
      <w:szCs w:val="22"/>
      <w:lang w:val="fr-MA"/>
    </w:rPr>
  </w:style>
  <w:style w:type="character" w:styleId="Hyperlink">
    <w:name w:val="Hyperlink"/>
    <w:uiPriority w:val="99"/>
    <w:unhideWhenUsed/>
    <w:rsid w:val="00A86BE5"/>
    <w:rPr>
      <w:color w:val="0563C1"/>
      <w:u w:val="single"/>
    </w:rPr>
  </w:style>
  <w:style w:type="character" w:customStyle="1" w:styleId="ListParagraphChar">
    <w:name w:val="List Paragraph Char"/>
    <w:aliases w:val="Numbered list Char,List Paragraph1 Char,Paragraphe de liste1 Char,Paragraphe de liste du rapport Char,MCHIP_list paragraph Char,Recommendation Char,List Paragraph (numbered (a)) Char,Dot pt Char,F5 List Paragraph Char,Bullet 1 Char"/>
    <w:basedOn w:val="DefaultParagraphFont"/>
    <w:link w:val="ListParagraph"/>
    <w:uiPriority w:val="34"/>
    <w:rsid w:val="002003D8"/>
  </w:style>
  <w:style w:type="character" w:customStyle="1" w:styleId="Heading2Char">
    <w:name w:val="Heading 2 Char"/>
    <w:basedOn w:val="DefaultParagraphFont"/>
    <w:link w:val="Heading2"/>
    <w:uiPriority w:val="9"/>
    <w:rsid w:val="003A157A"/>
    <w:rPr>
      <w:rFonts w:ascii="Calibri" w:eastAsia="Times New Roman" w:hAnsi="Calibri" w:cs="Arial"/>
      <w:b/>
      <w:snapToGrid w:val="0"/>
      <w:color w:val="0070C0"/>
      <w:szCs w:val="22"/>
      <w:lang w:val="fr-FR"/>
    </w:rPr>
  </w:style>
  <w:style w:type="character" w:customStyle="1" w:styleId="Heading3Char">
    <w:name w:val="Heading 3 Char"/>
    <w:basedOn w:val="DefaultParagraphFont"/>
    <w:link w:val="Heading3"/>
    <w:uiPriority w:val="9"/>
    <w:rsid w:val="00017E28"/>
    <w:rPr>
      <w:rFonts w:ascii="Cambria" w:eastAsia="Times New Roman" w:hAnsi="Cambria" w:cs="Times New Roman"/>
      <w:color w:val="243F60"/>
      <w:lang w:val="en-GB"/>
    </w:rPr>
  </w:style>
  <w:style w:type="character" w:customStyle="1" w:styleId="Heading5Char">
    <w:name w:val="Heading 5 Char"/>
    <w:basedOn w:val="DefaultParagraphFont"/>
    <w:link w:val="Heading5"/>
    <w:uiPriority w:val="9"/>
    <w:semiHidden/>
    <w:rsid w:val="00017E28"/>
    <w:rPr>
      <w:rFonts w:ascii="Cambria" w:eastAsia="Times New Roman" w:hAnsi="Cambria" w:cs="Times New Roman"/>
      <w:color w:val="365F91"/>
      <w:sz w:val="22"/>
      <w:szCs w:val="22"/>
      <w:lang w:val="en-GB"/>
    </w:rPr>
  </w:style>
  <w:style w:type="character" w:customStyle="1" w:styleId="Heading6Char">
    <w:name w:val="Heading 6 Char"/>
    <w:basedOn w:val="DefaultParagraphFont"/>
    <w:link w:val="Heading6"/>
    <w:uiPriority w:val="9"/>
    <w:semiHidden/>
    <w:rsid w:val="00017E28"/>
    <w:rPr>
      <w:rFonts w:ascii="Cambria" w:eastAsia="Times New Roman" w:hAnsi="Cambria" w:cs="Times New Roman"/>
      <w:color w:val="243F60"/>
      <w:sz w:val="22"/>
      <w:szCs w:val="22"/>
      <w:lang w:val="en-GB"/>
    </w:rPr>
  </w:style>
  <w:style w:type="character" w:customStyle="1" w:styleId="Heading7Char">
    <w:name w:val="Heading 7 Char"/>
    <w:basedOn w:val="DefaultParagraphFont"/>
    <w:link w:val="Heading7"/>
    <w:uiPriority w:val="9"/>
    <w:semiHidden/>
    <w:rsid w:val="00017E28"/>
    <w:rPr>
      <w:rFonts w:ascii="Cambria" w:eastAsia="Times New Roman" w:hAnsi="Cambria" w:cs="Times New Roman"/>
      <w:i/>
      <w:iCs/>
      <w:color w:val="243F60"/>
      <w:sz w:val="22"/>
      <w:szCs w:val="22"/>
      <w:lang w:val="en-GB"/>
    </w:rPr>
  </w:style>
  <w:style w:type="character" w:customStyle="1" w:styleId="Heading8Char">
    <w:name w:val="Heading 8 Char"/>
    <w:basedOn w:val="DefaultParagraphFont"/>
    <w:link w:val="Heading8"/>
    <w:uiPriority w:val="9"/>
    <w:semiHidden/>
    <w:rsid w:val="00017E28"/>
    <w:rPr>
      <w:rFonts w:ascii="Cambria" w:eastAsia="Times New Roman" w:hAnsi="Cambria" w:cs="Times New Roman"/>
      <w:color w:val="272727"/>
      <w:sz w:val="21"/>
      <w:szCs w:val="21"/>
      <w:lang w:val="en-GB"/>
    </w:rPr>
  </w:style>
  <w:style w:type="character" w:customStyle="1" w:styleId="Heading9Char">
    <w:name w:val="Heading 9 Char"/>
    <w:basedOn w:val="DefaultParagraphFont"/>
    <w:link w:val="Heading9"/>
    <w:uiPriority w:val="9"/>
    <w:semiHidden/>
    <w:rsid w:val="00017E28"/>
    <w:rPr>
      <w:rFonts w:ascii="Cambria" w:eastAsia="Times New Roman" w:hAnsi="Cambria" w:cs="Times New Roman"/>
      <w:i/>
      <w:iCs/>
      <w:color w:val="272727"/>
      <w:sz w:val="21"/>
      <w:szCs w:val="21"/>
      <w:lang w:val="en-GB"/>
    </w:rPr>
  </w:style>
  <w:style w:type="numbering" w:customStyle="1" w:styleId="Style1">
    <w:name w:val="Style1"/>
    <w:uiPriority w:val="99"/>
    <w:rsid w:val="00C11F5B"/>
    <w:pPr>
      <w:numPr>
        <w:numId w:val="19"/>
      </w:numPr>
    </w:pPr>
  </w:style>
  <w:style w:type="numbering" w:customStyle="1" w:styleId="Style2">
    <w:name w:val="Style2"/>
    <w:uiPriority w:val="99"/>
    <w:rsid w:val="00AA2581"/>
    <w:pPr>
      <w:numPr>
        <w:numId w:val="22"/>
      </w:numPr>
    </w:pPr>
  </w:style>
  <w:style w:type="paragraph" w:styleId="Header">
    <w:name w:val="header"/>
    <w:basedOn w:val="Normal"/>
    <w:link w:val="HeaderChar"/>
    <w:uiPriority w:val="99"/>
    <w:unhideWhenUsed/>
    <w:rsid w:val="003B69C9"/>
    <w:pPr>
      <w:tabs>
        <w:tab w:val="center" w:pos="4680"/>
        <w:tab w:val="right" w:pos="9360"/>
      </w:tabs>
    </w:pPr>
  </w:style>
  <w:style w:type="character" w:customStyle="1" w:styleId="HeaderChar">
    <w:name w:val="Header Char"/>
    <w:basedOn w:val="DefaultParagraphFont"/>
    <w:link w:val="Header"/>
    <w:uiPriority w:val="99"/>
    <w:rsid w:val="003B69C9"/>
  </w:style>
  <w:style w:type="paragraph" w:styleId="Footer">
    <w:name w:val="footer"/>
    <w:basedOn w:val="Normal"/>
    <w:link w:val="FooterChar"/>
    <w:uiPriority w:val="99"/>
    <w:unhideWhenUsed/>
    <w:rsid w:val="003B69C9"/>
    <w:pPr>
      <w:tabs>
        <w:tab w:val="center" w:pos="4680"/>
        <w:tab w:val="right" w:pos="9360"/>
      </w:tabs>
    </w:pPr>
  </w:style>
  <w:style w:type="character" w:customStyle="1" w:styleId="FooterChar">
    <w:name w:val="Footer Char"/>
    <w:basedOn w:val="DefaultParagraphFont"/>
    <w:link w:val="Footer"/>
    <w:uiPriority w:val="99"/>
    <w:rsid w:val="003B69C9"/>
  </w:style>
  <w:style w:type="character" w:styleId="UnresolvedMention">
    <w:name w:val="Unresolved Mention"/>
    <w:basedOn w:val="DefaultParagraphFont"/>
    <w:uiPriority w:val="99"/>
    <w:semiHidden/>
    <w:unhideWhenUsed/>
    <w:rsid w:val="00D96D05"/>
    <w:rPr>
      <w:color w:val="605E5C"/>
      <w:shd w:val="clear" w:color="auto" w:fill="E1DFDD"/>
    </w:rPr>
  </w:style>
  <w:style w:type="character" w:styleId="FollowedHyperlink">
    <w:name w:val="FollowedHyperlink"/>
    <w:basedOn w:val="DefaultParagraphFont"/>
    <w:uiPriority w:val="99"/>
    <w:semiHidden/>
    <w:unhideWhenUsed/>
    <w:rsid w:val="00D61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26620">
      <w:bodyDiv w:val="1"/>
      <w:marLeft w:val="0"/>
      <w:marRight w:val="0"/>
      <w:marTop w:val="0"/>
      <w:marBottom w:val="0"/>
      <w:divBdr>
        <w:top w:val="none" w:sz="0" w:space="0" w:color="auto"/>
        <w:left w:val="none" w:sz="0" w:space="0" w:color="auto"/>
        <w:bottom w:val="none" w:sz="0" w:space="0" w:color="auto"/>
        <w:right w:val="none" w:sz="0" w:space="0" w:color="auto"/>
      </w:divBdr>
    </w:div>
    <w:div w:id="211820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unet@unicef.org" TargetMode="External"/><Relationship Id="rId3" Type="http://schemas.openxmlformats.org/officeDocument/2006/relationships/settings" Target="settings.xml"/><Relationship Id="rId7" Type="http://schemas.openxmlformats.org/officeDocument/2006/relationships/hyperlink" Target="https://secure.dc7.pageuppeople.com/apply/671/gateway/Default.aspx?c=apply&amp;sJobIDs=546254&amp;SourceTypeID=796&amp;sLanguage=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Johnson</dc:creator>
  <cp:keywords/>
  <dc:description/>
  <cp:lastModifiedBy>Salima Sadeq</cp:lastModifiedBy>
  <cp:revision>8</cp:revision>
  <cp:lastPrinted>2018-04-02T10:41:00Z</cp:lastPrinted>
  <dcterms:created xsi:type="dcterms:W3CDTF">2021-11-10T08:39:00Z</dcterms:created>
  <dcterms:modified xsi:type="dcterms:W3CDTF">2021-11-16T10:57:00Z</dcterms:modified>
</cp:coreProperties>
</file>